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44" w:rsidRDefault="00BA3944" w:rsidP="00BA394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2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2CC" w:rsidRDefault="00B952CC" w:rsidP="00BA3944">
      <w:pPr>
        <w:jc w:val="center"/>
        <w:rPr>
          <w:noProof/>
        </w:rPr>
      </w:pPr>
    </w:p>
    <w:p w:rsidR="00BA3944" w:rsidRPr="00F62CAA" w:rsidRDefault="00BA3944" w:rsidP="00BA3944">
      <w:pPr>
        <w:jc w:val="center"/>
        <w:rPr>
          <w:sz w:val="28"/>
          <w:szCs w:val="28"/>
          <w:u w:val="single"/>
        </w:rPr>
      </w:pPr>
      <w:r w:rsidRPr="00F62CAA">
        <w:rPr>
          <w:b/>
          <w:bCs/>
          <w:sz w:val="28"/>
          <w:szCs w:val="28"/>
        </w:rPr>
        <w:t>МУНИЦИПАЛЬНОЕ ОБРАЗОВАНИЕ</w:t>
      </w:r>
    </w:p>
    <w:p w:rsidR="00BA3944" w:rsidRDefault="00BA3944" w:rsidP="00BA3944">
      <w:pPr>
        <w:jc w:val="center"/>
        <w:rPr>
          <w:b/>
          <w:bCs/>
          <w:sz w:val="28"/>
          <w:szCs w:val="28"/>
        </w:rPr>
      </w:pPr>
      <w:r w:rsidRPr="00F62CAA">
        <w:rPr>
          <w:b/>
          <w:bCs/>
          <w:sz w:val="28"/>
          <w:szCs w:val="28"/>
        </w:rPr>
        <w:t>«СМОЛЕНСКИЙ РАЙОН» СМОЛЕНСКОЙ ОБЛАСТИ</w:t>
      </w:r>
    </w:p>
    <w:p w:rsidR="00BA3944" w:rsidRPr="00F62CAA" w:rsidRDefault="00BA3944" w:rsidP="00BA3944">
      <w:pPr>
        <w:jc w:val="center"/>
        <w:rPr>
          <w:b/>
          <w:bCs/>
          <w:sz w:val="28"/>
          <w:szCs w:val="28"/>
        </w:rPr>
      </w:pPr>
    </w:p>
    <w:p w:rsidR="00BA3944" w:rsidRDefault="00BA3944" w:rsidP="00BA3944">
      <w:pPr>
        <w:shd w:val="clear" w:color="auto" w:fill="FFFFFF"/>
        <w:jc w:val="center"/>
        <w:rPr>
          <w:b/>
          <w:sz w:val="28"/>
          <w:szCs w:val="28"/>
        </w:rPr>
      </w:pPr>
      <w:r w:rsidRPr="00F62CAA">
        <w:rPr>
          <w:b/>
          <w:sz w:val="28"/>
          <w:szCs w:val="28"/>
        </w:rPr>
        <w:t>СМОЛЕНСКАЯ РАЙОННАЯ ДУМА</w:t>
      </w:r>
    </w:p>
    <w:p w:rsidR="00BA3944" w:rsidRDefault="00BA3944" w:rsidP="00BA3944">
      <w:pPr>
        <w:jc w:val="center"/>
        <w:rPr>
          <w:b/>
          <w:sz w:val="28"/>
        </w:rPr>
      </w:pPr>
    </w:p>
    <w:p w:rsidR="00BA3944" w:rsidRDefault="00BA3944" w:rsidP="00BA3944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A3944" w:rsidRDefault="00BA3944" w:rsidP="00BA3944">
      <w:pPr>
        <w:jc w:val="center"/>
        <w:rPr>
          <w:b/>
          <w:sz w:val="28"/>
        </w:rPr>
      </w:pPr>
    </w:p>
    <w:p w:rsidR="00BA3944" w:rsidRDefault="00BA3944" w:rsidP="00BA3944">
      <w:pPr>
        <w:ind w:right="5669"/>
        <w:rPr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1C1614">
        <w:rPr>
          <w:bCs/>
          <w:sz w:val="28"/>
          <w:szCs w:val="28"/>
        </w:rPr>
        <w:t xml:space="preserve"> 2 декабря </w:t>
      </w:r>
      <w:r>
        <w:rPr>
          <w:bCs/>
          <w:sz w:val="28"/>
          <w:szCs w:val="28"/>
        </w:rPr>
        <w:t xml:space="preserve"> </w:t>
      </w:r>
      <w:r w:rsidR="001C16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2016</w:t>
      </w:r>
      <w:r w:rsidRPr="00610FA3">
        <w:rPr>
          <w:bCs/>
          <w:sz w:val="28"/>
          <w:szCs w:val="28"/>
        </w:rPr>
        <w:t xml:space="preserve"> года</w:t>
      </w:r>
      <w:r w:rsidR="001C1614">
        <w:rPr>
          <w:sz w:val="28"/>
          <w:szCs w:val="28"/>
        </w:rPr>
        <w:t xml:space="preserve">      </w:t>
      </w:r>
      <w:r w:rsidRPr="00610FA3">
        <w:rPr>
          <w:sz w:val="28"/>
          <w:szCs w:val="28"/>
        </w:rPr>
        <w:t xml:space="preserve"> №</w:t>
      </w:r>
      <w:r w:rsidR="001C1614">
        <w:rPr>
          <w:sz w:val="28"/>
          <w:szCs w:val="28"/>
        </w:rPr>
        <w:t xml:space="preserve"> 84</w:t>
      </w:r>
      <w:r w:rsidRPr="00610FA3">
        <w:rPr>
          <w:sz w:val="28"/>
          <w:szCs w:val="28"/>
        </w:rPr>
        <w:t xml:space="preserve">          </w:t>
      </w:r>
    </w:p>
    <w:p w:rsidR="00BA3944" w:rsidRPr="00610FA3" w:rsidRDefault="00BA3944" w:rsidP="00BA3944">
      <w:pPr>
        <w:ind w:right="5669"/>
        <w:rPr>
          <w:sz w:val="28"/>
          <w:szCs w:val="28"/>
        </w:rPr>
      </w:pPr>
      <w:r w:rsidRPr="00610FA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</w:t>
      </w:r>
      <w:r w:rsidRPr="00610FA3">
        <w:rPr>
          <w:sz w:val="28"/>
          <w:szCs w:val="28"/>
        </w:rPr>
        <w:t xml:space="preserve">     </w:t>
      </w:r>
    </w:p>
    <w:p w:rsidR="00BA3944" w:rsidRPr="00610FA3" w:rsidRDefault="00BA3944" w:rsidP="00D325CA">
      <w:pPr>
        <w:ind w:right="6094"/>
        <w:jc w:val="both"/>
        <w:rPr>
          <w:sz w:val="28"/>
          <w:szCs w:val="28"/>
        </w:rPr>
      </w:pPr>
      <w:r w:rsidRPr="0024621F">
        <w:rPr>
          <w:sz w:val="28"/>
          <w:szCs w:val="28"/>
        </w:rPr>
        <w:t>О прогнозе социально-экономического развития муниципального образования «Смоленский р</w:t>
      </w:r>
      <w:r>
        <w:rPr>
          <w:sz w:val="28"/>
          <w:szCs w:val="28"/>
        </w:rPr>
        <w:t xml:space="preserve">айон» Смоленской области </w:t>
      </w:r>
      <w:r w:rsidRPr="00610FA3">
        <w:rPr>
          <w:sz w:val="28"/>
          <w:szCs w:val="28"/>
        </w:rPr>
        <w:t>на 2017 год и п</w:t>
      </w:r>
      <w:r>
        <w:rPr>
          <w:sz w:val="28"/>
          <w:szCs w:val="28"/>
        </w:rPr>
        <w:t>лановый период до 2019 гола</w:t>
      </w:r>
    </w:p>
    <w:p w:rsidR="00BA3944" w:rsidRPr="00610FA3" w:rsidRDefault="00BA3944" w:rsidP="00BA3944">
      <w:pPr>
        <w:ind w:right="1975"/>
        <w:jc w:val="both"/>
        <w:outlineLvl w:val="0"/>
        <w:rPr>
          <w:b/>
          <w:sz w:val="28"/>
          <w:szCs w:val="28"/>
        </w:rPr>
      </w:pPr>
    </w:p>
    <w:p w:rsidR="00BA3944" w:rsidRDefault="00BA3944" w:rsidP="00BA3944">
      <w:pPr>
        <w:ind w:firstLine="709"/>
        <w:jc w:val="both"/>
        <w:rPr>
          <w:sz w:val="28"/>
          <w:szCs w:val="28"/>
        </w:rPr>
      </w:pPr>
    </w:p>
    <w:p w:rsidR="00BA3944" w:rsidRDefault="00BA3944" w:rsidP="008410E3">
      <w:pPr>
        <w:jc w:val="both"/>
        <w:rPr>
          <w:sz w:val="28"/>
          <w:szCs w:val="28"/>
        </w:rPr>
      </w:pPr>
    </w:p>
    <w:p w:rsidR="00BA3944" w:rsidRPr="00A905C2" w:rsidRDefault="00BA3944" w:rsidP="00BA3944">
      <w:pPr>
        <w:pStyle w:val="a6"/>
        <w:ind w:left="0"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905C2">
        <w:rPr>
          <w:sz w:val="28"/>
          <w:szCs w:val="28"/>
        </w:rPr>
        <w:t>уководствуясь ст</w:t>
      </w:r>
      <w:r>
        <w:rPr>
          <w:sz w:val="28"/>
          <w:szCs w:val="28"/>
        </w:rPr>
        <w:t xml:space="preserve">атьей </w:t>
      </w:r>
      <w:r w:rsidRPr="00A905C2">
        <w:rPr>
          <w:sz w:val="28"/>
          <w:szCs w:val="28"/>
        </w:rPr>
        <w:t>173 Бюджетно</w:t>
      </w:r>
      <w:r>
        <w:rPr>
          <w:sz w:val="28"/>
          <w:szCs w:val="28"/>
        </w:rPr>
        <w:t xml:space="preserve">го кодекса Российской Федерации, </w:t>
      </w:r>
      <w:r w:rsidR="00D325CA" w:rsidRPr="00A905C2">
        <w:rPr>
          <w:sz w:val="28"/>
          <w:szCs w:val="28"/>
        </w:rPr>
        <w:t>Уставом муниципального образования «Смоленский район» Смоленской области</w:t>
      </w:r>
      <w:r w:rsidR="00D325CA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A905C2">
        <w:rPr>
          <w:sz w:val="28"/>
          <w:szCs w:val="28"/>
        </w:rPr>
        <w:t>ассмотрев</w:t>
      </w:r>
      <w:r w:rsidR="00D325CA" w:rsidRPr="00D325CA">
        <w:rPr>
          <w:sz w:val="28"/>
          <w:szCs w:val="28"/>
        </w:rPr>
        <w:t xml:space="preserve"> </w:t>
      </w:r>
      <w:r w:rsidR="00D325CA" w:rsidRPr="00A905C2">
        <w:rPr>
          <w:sz w:val="28"/>
          <w:szCs w:val="28"/>
        </w:rPr>
        <w:t>представленный Администрацией муниципального образования «Смоленский район» Смоленской области</w:t>
      </w:r>
      <w:r w:rsidRPr="00A905C2">
        <w:rPr>
          <w:sz w:val="28"/>
          <w:szCs w:val="28"/>
        </w:rPr>
        <w:t xml:space="preserve"> прогноз социально-экономического развития муниципального образования «Смоленский р</w:t>
      </w:r>
      <w:r>
        <w:rPr>
          <w:sz w:val="28"/>
          <w:szCs w:val="28"/>
        </w:rPr>
        <w:t xml:space="preserve">айон» Смоленской области </w:t>
      </w:r>
      <w:r w:rsidRPr="00610FA3">
        <w:rPr>
          <w:sz w:val="28"/>
          <w:szCs w:val="28"/>
        </w:rPr>
        <w:t>на 2017 год и п</w:t>
      </w:r>
      <w:r>
        <w:rPr>
          <w:sz w:val="28"/>
          <w:szCs w:val="28"/>
        </w:rPr>
        <w:t>лановый период до 2019 гола</w:t>
      </w:r>
      <w:r w:rsidRPr="00A905C2">
        <w:rPr>
          <w:sz w:val="28"/>
          <w:szCs w:val="28"/>
        </w:rPr>
        <w:t xml:space="preserve">, Смоленская районная Дума </w:t>
      </w:r>
    </w:p>
    <w:p w:rsidR="00BA3944" w:rsidRPr="00A905C2" w:rsidRDefault="00BA3944" w:rsidP="00BA3944">
      <w:pPr>
        <w:ind w:firstLine="708"/>
        <w:jc w:val="both"/>
        <w:rPr>
          <w:sz w:val="28"/>
          <w:szCs w:val="28"/>
        </w:rPr>
      </w:pPr>
    </w:p>
    <w:p w:rsidR="00BA3944" w:rsidRPr="00A905C2" w:rsidRDefault="00BA3944" w:rsidP="00BA3944">
      <w:pPr>
        <w:ind w:firstLine="708"/>
        <w:rPr>
          <w:b/>
          <w:sz w:val="28"/>
          <w:szCs w:val="28"/>
        </w:rPr>
      </w:pPr>
      <w:r w:rsidRPr="00A905C2">
        <w:rPr>
          <w:b/>
          <w:sz w:val="28"/>
          <w:szCs w:val="28"/>
        </w:rPr>
        <w:t>РЕШИЛА:</w:t>
      </w:r>
    </w:p>
    <w:p w:rsidR="00BA3944" w:rsidRPr="00A905C2" w:rsidRDefault="00BA3944" w:rsidP="00BA3944">
      <w:pPr>
        <w:ind w:firstLine="708"/>
        <w:jc w:val="center"/>
        <w:rPr>
          <w:sz w:val="28"/>
          <w:szCs w:val="28"/>
        </w:rPr>
      </w:pPr>
    </w:p>
    <w:p w:rsidR="00BA3944" w:rsidRPr="00BA3944" w:rsidRDefault="00BA3944" w:rsidP="00BA39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1. Прогноз социально-</w:t>
      </w:r>
      <w:r w:rsidRPr="00BA3944">
        <w:rPr>
          <w:rFonts w:ascii="Times New Roman" w:hAnsi="Times New Roman" w:cs="Times New Roman"/>
          <w:sz w:val="28"/>
          <w:szCs w:val="28"/>
        </w:rPr>
        <w:t>экономического развития муниципального образования «Смоленский район» Смоленской области на 2017 год и плановый период до 2019 гола принять к сведению.</w:t>
      </w:r>
    </w:p>
    <w:p w:rsidR="00BA3944" w:rsidRPr="008C4A86" w:rsidRDefault="00BA3944" w:rsidP="00BA3944">
      <w:pPr>
        <w:pStyle w:val="a8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 xml:space="preserve">2. Решение 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Pr="008C4A86">
        <w:rPr>
          <w:rFonts w:ascii="Times New Roman" w:hAnsi="Times New Roman" w:cs="Times New Roman"/>
          <w:sz w:val="28"/>
          <w:szCs w:val="28"/>
        </w:rPr>
        <w:t>.</w:t>
      </w:r>
    </w:p>
    <w:p w:rsidR="00BA3944" w:rsidRDefault="00BA3944" w:rsidP="00BA3944">
      <w:pPr>
        <w:ind w:firstLine="709"/>
        <w:jc w:val="both"/>
        <w:rPr>
          <w:sz w:val="28"/>
          <w:szCs w:val="28"/>
        </w:rPr>
      </w:pPr>
    </w:p>
    <w:p w:rsidR="00D325CA" w:rsidRPr="00610FA3" w:rsidRDefault="00D325CA" w:rsidP="00BA3944">
      <w:pPr>
        <w:ind w:firstLine="709"/>
        <w:jc w:val="both"/>
        <w:rPr>
          <w:sz w:val="28"/>
          <w:szCs w:val="28"/>
        </w:rPr>
      </w:pPr>
    </w:p>
    <w:p w:rsidR="00BA3944" w:rsidRDefault="00BA3944" w:rsidP="00BA394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A3944" w:rsidRDefault="00BA3944">
      <w:pPr>
        <w:rPr>
          <w:b/>
          <w:sz w:val="28"/>
          <w:szCs w:val="28"/>
        </w:rPr>
      </w:pPr>
      <w:r>
        <w:rPr>
          <w:sz w:val="28"/>
          <w:szCs w:val="28"/>
        </w:rPr>
        <w:t>Смоленской районной Думы</w:t>
      </w:r>
      <w:r w:rsidRPr="00584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584ACB">
        <w:rPr>
          <w:sz w:val="28"/>
          <w:szCs w:val="28"/>
        </w:rPr>
        <w:t xml:space="preserve">                                  </w:t>
      </w:r>
      <w:r w:rsidR="00D612C8">
        <w:rPr>
          <w:sz w:val="28"/>
          <w:szCs w:val="28"/>
        </w:rPr>
        <w:t xml:space="preserve">  </w:t>
      </w:r>
      <w:bookmarkStart w:id="0" w:name="_GoBack"/>
      <w:bookmarkEnd w:id="0"/>
      <w:r w:rsidRPr="00584ACB">
        <w:rPr>
          <w:sz w:val="28"/>
          <w:szCs w:val="28"/>
        </w:rPr>
        <w:t xml:space="preserve">  </w:t>
      </w:r>
      <w:r w:rsidRPr="00A905C2">
        <w:rPr>
          <w:b/>
          <w:sz w:val="28"/>
          <w:szCs w:val="28"/>
        </w:rPr>
        <w:t xml:space="preserve">Ю.Г. </w:t>
      </w:r>
      <w:r>
        <w:rPr>
          <w:b/>
          <w:sz w:val="28"/>
          <w:szCs w:val="28"/>
        </w:rPr>
        <w:t xml:space="preserve"> </w:t>
      </w:r>
      <w:proofErr w:type="spellStart"/>
      <w:r w:rsidRPr="00A905C2">
        <w:rPr>
          <w:b/>
          <w:sz w:val="28"/>
          <w:szCs w:val="28"/>
        </w:rPr>
        <w:t>Давыдовский</w:t>
      </w:r>
      <w:proofErr w:type="spellEnd"/>
    </w:p>
    <w:p w:rsidR="008410E3" w:rsidRDefault="008410E3">
      <w:pPr>
        <w:rPr>
          <w:b/>
          <w:sz w:val="28"/>
          <w:szCs w:val="28"/>
        </w:rPr>
      </w:pPr>
    </w:p>
    <w:p w:rsidR="008410E3" w:rsidRDefault="008410E3">
      <w:pPr>
        <w:rPr>
          <w:b/>
          <w:sz w:val="28"/>
          <w:szCs w:val="28"/>
        </w:rPr>
      </w:pPr>
    </w:p>
    <w:p w:rsidR="008410E3" w:rsidRDefault="008410E3">
      <w:pPr>
        <w:rPr>
          <w:b/>
          <w:sz w:val="28"/>
          <w:szCs w:val="28"/>
        </w:rPr>
      </w:pPr>
    </w:p>
    <w:p w:rsidR="008410E3" w:rsidRDefault="008410E3">
      <w:pPr>
        <w:rPr>
          <w:b/>
          <w:sz w:val="28"/>
          <w:szCs w:val="28"/>
        </w:rPr>
      </w:pPr>
    </w:p>
    <w:p w:rsidR="008410E3" w:rsidRDefault="008410E3">
      <w:pPr>
        <w:rPr>
          <w:b/>
          <w:sz w:val="28"/>
          <w:szCs w:val="28"/>
        </w:rPr>
      </w:pPr>
    </w:p>
    <w:p w:rsidR="008410E3" w:rsidRPr="005B30C8" w:rsidRDefault="008410E3" w:rsidP="008410E3">
      <w:pPr>
        <w:pStyle w:val="a6"/>
        <w:ind w:left="0"/>
        <w:jc w:val="center"/>
        <w:rPr>
          <w:b/>
          <w:sz w:val="28"/>
          <w:szCs w:val="28"/>
        </w:rPr>
      </w:pPr>
      <w:r w:rsidRPr="005B30C8">
        <w:rPr>
          <w:b/>
          <w:sz w:val="28"/>
          <w:szCs w:val="28"/>
        </w:rPr>
        <w:lastRenderedPageBreak/>
        <w:t xml:space="preserve">Прогноз социально-экономического развития </w:t>
      </w:r>
    </w:p>
    <w:p w:rsidR="008410E3" w:rsidRPr="005B30C8" w:rsidRDefault="008410E3" w:rsidP="008410E3">
      <w:pPr>
        <w:pStyle w:val="a6"/>
        <w:ind w:left="0"/>
        <w:jc w:val="center"/>
        <w:rPr>
          <w:b/>
          <w:sz w:val="28"/>
          <w:szCs w:val="28"/>
        </w:rPr>
      </w:pPr>
      <w:r w:rsidRPr="005B30C8">
        <w:rPr>
          <w:b/>
          <w:sz w:val="28"/>
          <w:szCs w:val="28"/>
        </w:rPr>
        <w:t xml:space="preserve"> муниципального образования «Смоленский район» Смоленской области</w:t>
      </w:r>
    </w:p>
    <w:p w:rsidR="008410E3" w:rsidRPr="005B30C8" w:rsidRDefault="008410E3" w:rsidP="008410E3">
      <w:pPr>
        <w:pStyle w:val="a6"/>
        <w:ind w:left="0"/>
        <w:jc w:val="center"/>
        <w:rPr>
          <w:b/>
          <w:sz w:val="28"/>
          <w:szCs w:val="28"/>
        </w:rPr>
      </w:pPr>
      <w:r w:rsidRPr="005B30C8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5B30C8">
        <w:rPr>
          <w:b/>
          <w:sz w:val="28"/>
          <w:szCs w:val="28"/>
        </w:rPr>
        <w:t xml:space="preserve"> год и на период до 201</w:t>
      </w:r>
      <w:r>
        <w:rPr>
          <w:b/>
          <w:sz w:val="28"/>
          <w:szCs w:val="28"/>
        </w:rPr>
        <w:t>9</w:t>
      </w:r>
      <w:r w:rsidRPr="005B30C8">
        <w:rPr>
          <w:b/>
          <w:sz w:val="28"/>
          <w:szCs w:val="28"/>
        </w:rPr>
        <w:t xml:space="preserve"> года</w:t>
      </w:r>
    </w:p>
    <w:p w:rsidR="008410E3" w:rsidRDefault="008410E3" w:rsidP="008410E3">
      <w:pPr>
        <w:pStyle w:val="a6"/>
        <w:jc w:val="center"/>
        <w:rPr>
          <w:sz w:val="28"/>
        </w:rPr>
      </w:pPr>
    </w:p>
    <w:p w:rsidR="008410E3" w:rsidRPr="00BE11B7" w:rsidRDefault="008410E3" w:rsidP="008410E3">
      <w:pPr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  <w:proofErr w:type="gramStart"/>
      <w:r>
        <w:rPr>
          <w:sz w:val="28"/>
        </w:rPr>
        <w:t>Прогноз социально-экономического развития муниципального образования «Смоленский район» Смоленской области на 2017-2019 годы разработан на</w:t>
      </w:r>
      <w:r>
        <w:rPr>
          <w:sz w:val="28"/>
          <w:szCs w:val="28"/>
        </w:rPr>
        <w:t xml:space="preserve"> основе одобренных Правительством Российской Федерации сценарных условий функционирования экономики Российской Федерации, </w:t>
      </w:r>
      <w:r w:rsidRPr="00BE11B7">
        <w:rPr>
          <w:sz w:val="28"/>
          <w:szCs w:val="28"/>
        </w:rPr>
        <w:t>основных параметров прогноза социально-экономического раз</w:t>
      </w:r>
      <w:r>
        <w:rPr>
          <w:sz w:val="28"/>
          <w:szCs w:val="28"/>
        </w:rPr>
        <w:t>вития Смоленской области на 2017 год и на плановый период 2018 и 2019</w:t>
      </w:r>
      <w:r w:rsidRPr="00BE11B7">
        <w:rPr>
          <w:sz w:val="28"/>
          <w:szCs w:val="28"/>
        </w:rPr>
        <w:t xml:space="preserve"> годов,  прогноза индексов-дефляторов цен </w:t>
      </w:r>
      <w:r>
        <w:rPr>
          <w:sz w:val="28"/>
          <w:szCs w:val="28"/>
        </w:rPr>
        <w:t>Минэкономразвития России</w:t>
      </w:r>
      <w:r w:rsidRPr="00BE11B7">
        <w:rPr>
          <w:sz w:val="28"/>
          <w:szCs w:val="28"/>
        </w:rPr>
        <w:t xml:space="preserve">, мониторинга показателей развития </w:t>
      </w:r>
      <w:r>
        <w:rPr>
          <w:sz w:val="28"/>
          <w:szCs w:val="28"/>
        </w:rPr>
        <w:t>муниципального образования</w:t>
      </w:r>
      <w:r w:rsidRPr="00BE11B7">
        <w:rPr>
          <w:sz w:val="28"/>
          <w:szCs w:val="28"/>
        </w:rPr>
        <w:t xml:space="preserve"> за п</w:t>
      </w:r>
      <w:r>
        <w:rPr>
          <w:sz w:val="28"/>
          <w:szCs w:val="28"/>
        </w:rPr>
        <w:t>рошедший период и полугодие 2016</w:t>
      </w:r>
      <w:r w:rsidRPr="00BE11B7">
        <w:rPr>
          <w:sz w:val="28"/>
          <w:szCs w:val="28"/>
        </w:rPr>
        <w:t xml:space="preserve"> года</w:t>
      </w:r>
      <w:proofErr w:type="gramEnd"/>
      <w:r w:rsidRPr="00BE11B7">
        <w:rPr>
          <w:sz w:val="28"/>
          <w:szCs w:val="28"/>
        </w:rPr>
        <w:t xml:space="preserve">, а также анализа складывающейся социально-экономической ситуации </w:t>
      </w:r>
      <w:r>
        <w:rPr>
          <w:sz w:val="28"/>
          <w:szCs w:val="28"/>
        </w:rPr>
        <w:t>в секторах экономики района</w:t>
      </w:r>
      <w:r w:rsidRPr="00BE11B7">
        <w:rPr>
          <w:sz w:val="28"/>
          <w:szCs w:val="28"/>
        </w:rPr>
        <w:t>.</w:t>
      </w:r>
    </w:p>
    <w:p w:rsidR="008410E3" w:rsidRPr="00BE11B7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E11B7">
        <w:rPr>
          <w:sz w:val="28"/>
          <w:szCs w:val="28"/>
        </w:rPr>
        <w:t>При разработке среднесрочного прогноза использованы  материалы, представленные территориальным органом Федеральной службы государственной  статистики по Смоленской области, налоговой служб</w:t>
      </w:r>
      <w:r>
        <w:rPr>
          <w:sz w:val="28"/>
          <w:szCs w:val="28"/>
        </w:rPr>
        <w:t>ой, а также</w:t>
      </w:r>
      <w:r w:rsidRPr="00BE11B7">
        <w:rPr>
          <w:sz w:val="28"/>
          <w:szCs w:val="28"/>
        </w:rPr>
        <w:t xml:space="preserve">  предприятий</w:t>
      </w:r>
      <w:r>
        <w:rPr>
          <w:sz w:val="28"/>
          <w:szCs w:val="28"/>
        </w:rPr>
        <w:t xml:space="preserve"> и организаций</w:t>
      </w:r>
      <w:r w:rsidRPr="00BE11B7">
        <w:rPr>
          <w:sz w:val="28"/>
          <w:szCs w:val="28"/>
        </w:rPr>
        <w:t>, ра</w:t>
      </w:r>
      <w:r>
        <w:rPr>
          <w:sz w:val="28"/>
          <w:szCs w:val="28"/>
        </w:rPr>
        <w:t>сположенных на территории района</w:t>
      </w:r>
      <w:r w:rsidRPr="00BE11B7">
        <w:rPr>
          <w:sz w:val="28"/>
          <w:szCs w:val="28"/>
        </w:rPr>
        <w:t>.</w:t>
      </w:r>
    </w:p>
    <w:p w:rsidR="008410E3" w:rsidRPr="00BE11B7" w:rsidRDefault="008410E3" w:rsidP="008410E3">
      <w:pPr>
        <w:jc w:val="both"/>
        <w:rPr>
          <w:sz w:val="28"/>
          <w:szCs w:val="28"/>
        </w:rPr>
      </w:pPr>
      <w:r w:rsidRPr="00BE11B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E11B7">
        <w:rPr>
          <w:sz w:val="28"/>
          <w:szCs w:val="28"/>
        </w:rPr>
        <w:t>Цели и задачи прогноза на местном уровне ограничиваются, в основном, вопросами выполнения обязательств по содержанию объектов социальной сферы и муниципального хозяйства, решением наиболее острых первоочередных социальных вопросов и поступающих наказов.</w:t>
      </w:r>
    </w:p>
    <w:p w:rsidR="008410E3" w:rsidRPr="00BE11B7" w:rsidRDefault="008410E3" w:rsidP="008410E3">
      <w:pPr>
        <w:pStyle w:val="ad"/>
        <w:ind w:firstLine="708"/>
        <w:rPr>
          <w:szCs w:val="28"/>
        </w:rPr>
      </w:pPr>
      <w:r>
        <w:rPr>
          <w:szCs w:val="28"/>
        </w:rPr>
        <w:t xml:space="preserve"> </w:t>
      </w:r>
      <w:r w:rsidRPr="00BE11B7">
        <w:rPr>
          <w:szCs w:val="28"/>
        </w:rPr>
        <w:t>Конечной целью социально-экономического развития муниципального образования является улучшение качества жизни населения.</w:t>
      </w:r>
    </w:p>
    <w:p w:rsidR="008410E3" w:rsidRDefault="008410E3" w:rsidP="008410E3">
      <w:pPr>
        <w:pStyle w:val="ad"/>
        <w:jc w:val="center"/>
      </w:pPr>
    </w:p>
    <w:p w:rsidR="008410E3" w:rsidRDefault="008410E3" w:rsidP="008410E3">
      <w:pPr>
        <w:pStyle w:val="ad"/>
        <w:jc w:val="center"/>
      </w:pPr>
      <w:r>
        <w:t>ДЕМОГРАФИЧЕСКАЯ СИТУАЦИЯ</w:t>
      </w:r>
    </w:p>
    <w:p w:rsidR="008410E3" w:rsidRDefault="008410E3" w:rsidP="008410E3">
      <w:pPr>
        <w:pStyle w:val="ad"/>
      </w:pPr>
      <w:r>
        <w:t xml:space="preserve">           В 2015 году среднегодовая численность  постоянного населения Смоленского района составила 54 тыс. человек, относительно 2014 года увеличилась на 1800  человек. Это связано с вводом жилья в эксплуатацию.</w:t>
      </w:r>
    </w:p>
    <w:p w:rsidR="008410E3" w:rsidRDefault="008410E3" w:rsidP="008410E3">
      <w:pPr>
        <w:pStyle w:val="ad"/>
      </w:pPr>
      <w:r>
        <w:t xml:space="preserve">            Главной задачей в сфере демографии по-прежнему остается снижение темпов естественной убыли населения. На её решение по-прежнему будут направлены мероприятия по созданию благоприятных условий для повышения рождаемости, улучшению положения семей с детьми, сокращению уровня смертности, а также сохранению и укреплению здоровья населения, регулированию внутренней и внешней миграции.</w:t>
      </w:r>
    </w:p>
    <w:p w:rsidR="008410E3" w:rsidRDefault="008410E3" w:rsidP="008410E3">
      <w:pPr>
        <w:pStyle w:val="ad"/>
      </w:pPr>
      <w:r>
        <w:t xml:space="preserve">           Росту рождаемости и снижению смертности будет способствовать модернизация системы здравоохранения, в рамках которой продолжится оснащение медицинских учреждений современным оборудованием.</w:t>
      </w:r>
    </w:p>
    <w:p w:rsidR="008410E3" w:rsidRDefault="008410E3" w:rsidP="008410E3">
      <w:pPr>
        <w:pStyle w:val="ad"/>
      </w:pPr>
      <w:r>
        <w:t xml:space="preserve">           На стабилизацию демографической ситуации в Смоленской области будут направлены мероприятия по формированию здорового образа жизни (открытие физкультурно-оздоровительных комплексов), а также дополнительные меры поддержки семей, имеющих детей (сертификаты на материнский (семейный) капитал). </w:t>
      </w:r>
    </w:p>
    <w:p w:rsidR="008410E3" w:rsidRDefault="008410E3" w:rsidP="008410E3">
      <w:pPr>
        <w:pStyle w:val="ad"/>
      </w:pPr>
      <w:r>
        <w:t xml:space="preserve">            Демографическая ситуация будет развиваться под влиянием сложившихся тенденций рождаемости и смертности. Произошедшие в последние годы позитивные изменения в демографической ситуации дают основание в среднесрочной перспективе прогнозировать уменьшение интенсивности естественной убыли населения.</w:t>
      </w:r>
    </w:p>
    <w:p w:rsidR="008410E3" w:rsidRDefault="008410E3" w:rsidP="008410E3">
      <w:pPr>
        <w:pStyle w:val="ad"/>
      </w:pPr>
      <w:r>
        <w:t xml:space="preserve">            </w:t>
      </w:r>
      <w:proofErr w:type="gramStart"/>
      <w:r>
        <w:t>Ожидается замедление темпов естественной убыли населения за счет увеличения рождаемости с в 2016 году - 483 человека, в 2019 году –554 человека), и снижения смертности с 835 человек в 2016 году до 804 человек в 2019 году.</w:t>
      </w:r>
      <w:proofErr w:type="gramEnd"/>
    </w:p>
    <w:p w:rsidR="008410E3" w:rsidRDefault="008410E3" w:rsidP="008410E3">
      <w:pPr>
        <w:pStyle w:val="ad"/>
      </w:pPr>
      <w:r>
        <w:t xml:space="preserve">            Так, к 2019 году по сравнению с 2016 годом коэффициент рождаемости увеличится с 8,8 до 9,6 родившихся на 1000 человек населения.</w:t>
      </w:r>
    </w:p>
    <w:p w:rsidR="008410E3" w:rsidRPr="004C7C23" w:rsidRDefault="008410E3" w:rsidP="008410E3">
      <w:pPr>
        <w:pStyle w:val="ad"/>
      </w:pPr>
      <w:r>
        <w:t xml:space="preserve">            Общий коэффициент смертности снизится с 15,8 в 2016 году до 13,9 человек в 2019 году на 1000 населения.   </w:t>
      </w:r>
    </w:p>
    <w:p w:rsidR="008410E3" w:rsidRDefault="008410E3" w:rsidP="008410E3">
      <w:pPr>
        <w:pStyle w:val="ad"/>
        <w:ind w:firstLine="993"/>
      </w:pPr>
    </w:p>
    <w:p w:rsidR="008410E3" w:rsidRDefault="008410E3" w:rsidP="008410E3">
      <w:pPr>
        <w:pStyle w:val="ad"/>
        <w:ind w:firstLine="142"/>
      </w:pPr>
      <w:r>
        <w:rPr>
          <w:noProof/>
        </w:rPr>
        <w:lastRenderedPageBreak/>
        <w:drawing>
          <wp:inline distT="0" distB="0" distL="0" distR="0">
            <wp:extent cx="6372225" cy="4152900"/>
            <wp:effectExtent l="0" t="0" r="0" b="0"/>
            <wp:docPr id="1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10E3" w:rsidRDefault="008410E3" w:rsidP="008410E3">
      <w:pPr>
        <w:pStyle w:val="ad"/>
        <w:ind w:firstLine="993"/>
      </w:pPr>
      <w:r>
        <w:t xml:space="preserve">Существенным фактором позитивного влияния на демографическую ситуацию в районе становится миграция, которая в период 2016-2019 гг. будет компенсировать естественную убыль населения. </w:t>
      </w:r>
    </w:p>
    <w:p w:rsidR="008410E3" w:rsidRDefault="008410E3" w:rsidP="008410E3">
      <w:pPr>
        <w:pStyle w:val="ad"/>
        <w:ind w:firstLine="993"/>
      </w:pPr>
      <w:r>
        <w:t xml:space="preserve">В результате совокупного влияния вышеперечисленных факторов наметится увеличение численности населения Смоленского района. </w:t>
      </w:r>
      <w:proofErr w:type="gramStart"/>
      <w:r>
        <w:t xml:space="preserve">Среднегодовая численность  населения составит: в 2017 году – 55,9 тыс. человек, в 2018 году – 56,9 тыс. человек, в 2019 году – 57,98 тыс. человек. </w:t>
      </w:r>
      <w:proofErr w:type="gramEnd"/>
    </w:p>
    <w:p w:rsidR="008410E3" w:rsidRDefault="008410E3" w:rsidP="008410E3">
      <w:pPr>
        <w:pStyle w:val="ad"/>
      </w:pPr>
      <w:r>
        <w:rPr>
          <w:noProof/>
        </w:rPr>
        <w:drawing>
          <wp:inline distT="0" distB="0" distL="0" distR="0">
            <wp:extent cx="6400800" cy="3076575"/>
            <wp:effectExtent l="0" t="0" r="0" b="0"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10E3" w:rsidRDefault="008410E3" w:rsidP="008410E3">
      <w:pPr>
        <w:pStyle w:val="ad"/>
        <w:ind w:firstLine="993"/>
      </w:pPr>
    </w:p>
    <w:p w:rsidR="008410E3" w:rsidRPr="00CE49DD" w:rsidRDefault="008410E3" w:rsidP="008410E3">
      <w:pPr>
        <w:pStyle w:val="ad"/>
        <w:ind w:firstLine="993"/>
      </w:pPr>
      <w:r w:rsidRPr="00CE49DD">
        <w:t>Численность экономически активного населения на начало 201</w:t>
      </w:r>
      <w:r>
        <w:t>6 года</w:t>
      </w:r>
      <w:r w:rsidRPr="00CE49DD">
        <w:t xml:space="preserve"> составила, по оценке 24</w:t>
      </w:r>
      <w:r>
        <w:t>433</w:t>
      </w:r>
      <w:r w:rsidRPr="00CE49DD">
        <w:t xml:space="preserve"> человек, </w:t>
      </w:r>
      <w:r>
        <w:t>45</w:t>
      </w:r>
      <w:r w:rsidRPr="00CE49DD">
        <w:t>% от общей численности населения района, в их числе 14,9 тыс. человек, 6</w:t>
      </w:r>
      <w:r>
        <w:t>1</w:t>
      </w:r>
      <w:r w:rsidRPr="00CE49DD">
        <w:t>% экономически активного населения, были заняты в экономике.</w:t>
      </w:r>
    </w:p>
    <w:p w:rsidR="008410E3" w:rsidRDefault="008410E3" w:rsidP="008410E3">
      <w:pPr>
        <w:pStyle w:val="a6"/>
        <w:ind w:left="993"/>
        <w:jc w:val="both"/>
        <w:rPr>
          <w:sz w:val="28"/>
        </w:rPr>
      </w:pPr>
    </w:p>
    <w:p w:rsidR="008410E3" w:rsidRDefault="008410E3" w:rsidP="008410E3">
      <w:pPr>
        <w:pStyle w:val="a6"/>
        <w:rPr>
          <w:sz w:val="28"/>
        </w:rPr>
      </w:pPr>
      <w:r>
        <w:rPr>
          <w:sz w:val="28"/>
        </w:rPr>
        <w:lastRenderedPageBreak/>
        <w:t>ПРОМЫШЛЕННОЕ ПРОИЗВОДСТВО</w:t>
      </w:r>
    </w:p>
    <w:p w:rsidR="008410E3" w:rsidRDefault="008410E3" w:rsidP="008410E3">
      <w:pPr>
        <w:pStyle w:val="a6"/>
        <w:ind w:left="0" w:firstLine="900"/>
        <w:jc w:val="both"/>
        <w:rPr>
          <w:sz w:val="28"/>
        </w:rPr>
      </w:pPr>
      <w:r>
        <w:rPr>
          <w:sz w:val="28"/>
        </w:rPr>
        <w:t>В соответствии с прогнозом объем отгруженных товаров собственного производства, выполненных работ и услуг организациями Смоленского района (разделы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+</w:t>
      </w:r>
      <w:r>
        <w:rPr>
          <w:sz w:val="28"/>
          <w:lang w:val="en-US"/>
        </w:rPr>
        <w:t>D</w:t>
      </w:r>
      <w:r>
        <w:rPr>
          <w:sz w:val="28"/>
        </w:rPr>
        <w:t>+Е ОКВЭД) в 2017 году составит 904,47 млн. рублей, в 2018 году – 977,58 млн. рублей, в 2019 году – 1047 млн. рублей.</w:t>
      </w:r>
    </w:p>
    <w:p w:rsidR="008410E3" w:rsidRDefault="008410E3" w:rsidP="008410E3">
      <w:pPr>
        <w:pStyle w:val="a6"/>
        <w:ind w:left="0" w:firstLine="900"/>
        <w:jc w:val="both"/>
        <w:rPr>
          <w:sz w:val="28"/>
        </w:rPr>
      </w:pPr>
    </w:p>
    <w:p w:rsidR="008410E3" w:rsidRDefault="008410E3" w:rsidP="008410E3">
      <w:pPr>
        <w:pStyle w:val="a6"/>
        <w:ind w:left="0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6429375" cy="29241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sz w:val="28"/>
        </w:rPr>
        <w:t xml:space="preserve"> </w:t>
      </w:r>
    </w:p>
    <w:p w:rsidR="008410E3" w:rsidRDefault="008410E3" w:rsidP="008410E3">
      <w:pPr>
        <w:pStyle w:val="a6"/>
        <w:ind w:left="0"/>
        <w:jc w:val="both"/>
        <w:rPr>
          <w:sz w:val="28"/>
        </w:rPr>
      </w:pPr>
      <w:r>
        <w:rPr>
          <w:sz w:val="28"/>
        </w:rPr>
        <w:t xml:space="preserve">            Индекс  промышленного производства составит: в 2017 году – 103,2 процента, в 2018 году – 102,7 процента, в 2019 году – 102,2 процента.</w:t>
      </w:r>
    </w:p>
    <w:p w:rsidR="008410E3" w:rsidRDefault="008410E3" w:rsidP="008410E3">
      <w:pPr>
        <w:pStyle w:val="a6"/>
        <w:ind w:left="0"/>
        <w:jc w:val="both"/>
        <w:rPr>
          <w:sz w:val="28"/>
        </w:rPr>
      </w:pPr>
      <w:r>
        <w:rPr>
          <w:sz w:val="28"/>
        </w:rPr>
        <w:t xml:space="preserve">            В структуре производства в 2017 году основная доля (74,4 процентов) будет приходиться на обрабатывающие производства, доля добычи полезных ископаемых  будет составлять 17,5 процента, производство и распределение электроэнергии, газа и воды – 8,1 процентов от общего объема отгруженной продукции. В последующие годы структура промышленного производства значительно не изменится.</w:t>
      </w:r>
    </w:p>
    <w:p w:rsidR="008410E3" w:rsidRDefault="008410E3" w:rsidP="008410E3">
      <w:pPr>
        <w:pStyle w:val="a6"/>
        <w:ind w:left="0"/>
        <w:jc w:val="both"/>
        <w:rPr>
          <w:sz w:val="28"/>
        </w:rPr>
      </w:pPr>
      <w:r>
        <w:rPr>
          <w:sz w:val="28"/>
        </w:rPr>
        <w:t xml:space="preserve">             Добыча полезных ископаемых осуществляется предприятиями: ЗАО «Управление подсобных предприятий», ЗАО «Комбинат промышленных предприятий карьер «</w:t>
      </w:r>
      <w:proofErr w:type="spellStart"/>
      <w:r>
        <w:rPr>
          <w:sz w:val="28"/>
        </w:rPr>
        <w:t>Стрельники</w:t>
      </w:r>
      <w:proofErr w:type="spellEnd"/>
      <w:r>
        <w:rPr>
          <w:sz w:val="28"/>
        </w:rPr>
        <w:t>».</w:t>
      </w:r>
    </w:p>
    <w:p w:rsidR="008410E3" w:rsidRDefault="008410E3" w:rsidP="008410E3">
      <w:pPr>
        <w:pStyle w:val="a6"/>
        <w:ind w:left="0"/>
        <w:jc w:val="both"/>
        <w:rPr>
          <w:sz w:val="28"/>
        </w:rPr>
      </w:pPr>
      <w:r>
        <w:rPr>
          <w:sz w:val="28"/>
        </w:rPr>
        <w:t xml:space="preserve">             Индекс промышленного производства по данному виду экономической деятельности составит: в 2017 году – 102 процента, в 2018 году – 102 процента, в 2019 году – 102,2 процента. </w:t>
      </w:r>
    </w:p>
    <w:p w:rsidR="008410E3" w:rsidRDefault="008410E3" w:rsidP="008410E3">
      <w:pPr>
        <w:pStyle w:val="a6"/>
        <w:ind w:left="0"/>
        <w:jc w:val="both"/>
        <w:rPr>
          <w:sz w:val="28"/>
        </w:rPr>
      </w:pPr>
      <w:r>
        <w:rPr>
          <w:sz w:val="28"/>
        </w:rPr>
        <w:t xml:space="preserve">             Согласно прогнозу в 2017 году объем отгруженных товаров, выполненных работ и услуг по виду экономической деятельности «Обрабатывающие производства» составит 672,57 млн. рублей. Индекс промышленного производства составит 103,5 процента.</w:t>
      </w:r>
    </w:p>
    <w:p w:rsidR="008410E3" w:rsidRDefault="008410E3" w:rsidP="008410E3">
      <w:pPr>
        <w:pStyle w:val="a6"/>
        <w:ind w:left="0" w:firstLine="993"/>
        <w:jc w:val="both"/>
        <w:rPr>
          <w:sz w:val="28"/>
        </w:rPr>
      </w:pPr>
      <w:r>
        <w:rPr>
          <w:sz w:val="28"/>
        </w:rPr>
        <w:t>В последующие годы динамичное развитие данного вида деятельности сохранится, индекс промышленного производства на 2018 год прогнозируется в размере 102,9 процента, на 2019 год – 102,2 процента.</w:t>
      </w:r>
    </w:p>
    <w:p w:rsidR="008410E3" w:rsidRDefault="008410E3" w:rsidP="008410E3">
      <w:pPr>
        <w:pStyle w:val="a6"/>
        <w:ind w:left="0" w:firstLine="993"/>
        <w:jc w:val="both"/>
        <w:rPr>
          <w:sz w:val="28"/>
        </w:rPr>
      </w:pPr>
      <w:r>
        <w:rPr>
          <w:sz w:val="28"/>
        </w:rPr>
        <w:t xml:space="preserve">Положительная динамика индексов производства в прогнозном периоде будет обеспечена по всем подвидам экономической деятельности: производство пищевых продуктов; обработка древесины и производство изделий из дерева; производство прочих неметаллических минеральных продуктов (ОАО ДЭП №47, </w:t>
      </w:r>
      <w:r>
        <w:rPr>
          <w:sz w:val="28"/>
        </w:rPr>
        <w:lastRenderedPageBreak/>
        <w:t>производство асфальта; ЗАО «</w:t>
      </w:r>
      <w:proofErr w:type="spellStart"/>
      <w:r>
        <w:rPr>
          <w:sz w:val="28"/>
        </w:rPr>
        <w:t>Баутэк</w:t>
      </w:r>
      <w:proofErr w:type="spellEnd"/>
      <w:r>
        <w:rPr>
          <w:sz w:val="28"/>
        </w:rPr>
        <w:t xml:space="preserve">», сухие строительные смеси; ЗАО «Фаянс», санитарно-технические изделия; </w:t>
      </w:r>
      <w:r w:rsidRPr="00C07CB1">
        <w:rPr>
          <w:sz w:val="28"/>
          <w:szCs w:val="28"/>
        </w:rPr>
        <w:t>ООО СПП «</w:t>
      </w:r>
      <w:proofErr w:type="spellStart"/>
      <w:r w:rsidRPr="00C07CB1">
        <w:rPr>
          <w:sz w:val="28"/>
          <w:szCs w:val="28"/>
        </w:rPr>
        <w:t>Бетонгарант</w:t>
      </w:r>
      <w:proofErr w:type="spellEnd"/>
      <w:r w:rsidRPr="00C07CB1">
        <w:rPr>
          <w:sz w:val="28"/>
          <w:szCs w:val="28"/>
        </w:rPr>
        <w:t>»</w:t>
      </w:r>
      <w:r>
        <w:rPr>
          <w:sz w:val="28"/>
          <w:szCs w:val="28"/>
        </w:rPr>
        <w:t>, производство</w:t>
      </w:r>
      <w:r w:rsidRPr="00C07CB1">
        <w:t xml:space="preserve"> </w:t>
      </w:r>
      <w:r w:rsidRPr="002B74F1">
        <w:rPr>
          <w:sz w:val="28"/>
          <w:szCs w:val="28"/>
        </w:rPr>
        <w:t>брусчатк</w:t>
      </w:r>
      <w:r>
        <w:rPr>
          <w:sz w:val="28"/>
          <w:szCs w:val="28"/>
        </w:rPr>
        <w:t>и, тротуарной</w:t>
      </w:r>
      <w:r w:rsidRPr="002B74F1">
        <w:rPr>
          <w:sz w:val="28"/>
          <w:szCs w:val="28"/>
        </w:rPr>
        <w:t xml:space="preserve"> плитк</w:t>
      </w:r>
      <w:r>
        <w:rPr>
          <w:sz w:val="28"/>
          <w:szCs w:val="28"/>
        </w:rPr>
        <w:t xml:space="preserve">и;  </w:t>
      </w:r>
      <w:proofErr w:type="gramStart"/>
      <w:r w:rsidRPr="00C07CB1">
        <w:rPr>
          <w:sz w:val="28"/>
          <w:szCs w:val="28"/>
        </w:rPr>
        <w:t>ООО «</w:t>
      </w:r>
      <w:r>
        <w:rPr>
          <w:sz w:val="28"/>
          <w:szCs w:val="28"/>
        </w:rPr>
        <w:t>Печерский завод ЖБИ</w:t>
      </w:r>
      <w:r w:rsidRPr="00C07CB1">
        <w:rPr>
          <w:sz w:val="28"/>
          <w:szCs w:val="28"/>
        </w:rPr>
        <w:t>»</w:t>
      </w:r>
      <w:r>
        <w:rPr>
          <w:sz w:val="28"/>
          <w:szCs w:val="28"/>
        </w:rPr>
        <w:t>, производство железобетонных изделий</w:t>
      </w:r>
      <w:r w:rsidRPr="00C07CB1">
        <w:rPr>
          <w:sz w:val="28"/>
          <w:szCs w:val="28"/>
        </w:rPr>
        <w:t>).</w:t>
      </w:r>
      <w:r>
        <w:rPr>
          <w:sz w:val="28"/>
        </w:rPr>
        <w:t xml:space="preserve"> </w:t>
      </w:r>
      <w:proofErr w:type="gramEnd"/>
    </w:p>
    <w:p w:rsidR="008410E3" w:rsidRDefault="008410E3" w:rsidP="008410E3">
      <w:pPr>
        <w:pStyle w:val="a6"/>
        <w:ind w:left="0" w:firstLine="993"/>
        <w:jc w:val="both"/>
        <w:rPr>
          <w:sz w:val="28"/>
        </w:rPr>
      </w:pPr>
    </w:p>
    <w:p w:rsidR="008410E3" w:rsidRDefault="008410E3" w:rsidP="008410E3">
      <w:pPr>
        <w:pStyle w:val="a6"/>
        <w:ind w:left="0" w:firstLine="993"/>
        <w:jc w:val="both"/>
        <w:rPr>
          <w:sz w:val="28"/>
        </w:rPr>
      </w:pPr>
      <w:r>
        <w:rPr>
          <w:sz w:val="28"/>
        </w:rPr>
        <w:t>В 2017 году согласно прогнозу объем отгруженных товаров, выполненных работ и услуг по виду экономической деятельности: производство и распределение электроэнергии, газа и воды составит 73,5 млн. рублей. Индекс промышленного производства составит 102,1 процентов.</w:t>
      </w:r>
    </w:p>
    <w:p w:rsidR="008410E3" w:rsidRDefault="008410E3" w:rsidP="008410E3">
      <w:pPr>
        <w:pStyle w:val="a6"/>
        <w:ind w:left="0" w:firstLine="993"/>
        <w:jc w:val="both"/>
        <w:rPr>
          <w:sz w:val="28"/>
        </w:rPr>
      </w:pPr>
      <w:r>
        <w:rPr>
          <w:sz w:val="28"/>
        </w:rPr>
        <w:t>В последующие годы индекс промышленного производства на 2018 год прогнозируется в размере 102,3 процента, на 2019 год – 102,7 процента.</w:t>
      </w:r>
    </w:p>
    <w:p w:rsidR="008410E3" w:rsidRDefault="008410E3" w:rsidP="008410E3">
      <w:pPr>
        <w:pStyle w:val="a6"/>
        <w:ind w:left="0" w:firstLine="993"/>
        <w:jc w:val="both"/>
        <w:rPr>
          <w:sz w:val="28"/>
        </w:rPr>
      </w:pPr>
    </w:p>
    <w:p w:rsidR="008410E3" w:rsidRDefault="008410E3" w:rsidP="008410E3">
      <w:pPr>
        <w:pStyle w:val="a6"/>
        <w:ind w:left="0"/>
        <w:jc w:val="center"/>
        <w:rPr>
          <w:sz w:val="28"/>
        </w:rPr>
      </w:pPr>
      <w:r>
        <w:rPr>
          <w:sz w:val="28"/>
        </w:rPr>
        <w:t>СЕЛЬСКОЕ ХОЗЯЙСТВО</w:t>
      </w:r>
    </w:p>
    <w:p w:rsidR="008410E3" w:rsidRDefault="008410E3" w:rsidP="008410E3">
      <w:pPr>
        <w:pStyle w:val="a6"/>
        <w:ind w:left="0"/>
        <w:jc w:val="both"/>
        <w:rPr>
          <w:sz w:val="28"/>
        </w:rPr>
      </w:pPr>
      <w:r>
        <w:rPr>
          <w:sz w:val="28"/>
        </w:rPr>
        <w:t xml:space="preserve">            Сельское хозяйство - один из важнейших секторов экономики Смоленского района. В структуре районной экономики сельское хозяйство занимает 29%.</w:t>
      </w:r>
    </w:p>
    <w:p w:rsidR="008410E3" w:rsidRDefault="008410E3" w:rsidP="008410E3">
      <w:pPr>
        <w:pStyle w:val="a6"/>
        <w:ind w:left="0"/>
        <w:jc w:val="both"/>
        <w:rPr>
          <w:sz w:val="28"/>
        </w:rPr>
      </w:pPr>
      <w:r>
        <w:rPr>
          <w:sz w:val="28"/>
        </w:rPr>
        <w:t xml:space="preserve">            На начало 2016 года производством сельскохозяйственной продукции занимались 21 сельскохозяйственная организация, 28 действующих крестьянских (фермерских) хозяйств.</w:t>
      </w:r>
    </w:p>
    <w:p w:rsidR="008410E3" w:rsidRDefault="008410E3" w:rsidP="008410E3">
      <w:pPr>
        <w:pStyle w:val="a6"/>
        <w:ind w:left="0"/>
        <w:jc w:val="both"/>
        <w:rPr>
          <w:sz w:val="28"/>
        </w:rPr>
      </w:pPr>
      <w:r>
        <w:rPr>
          <w:sz w:val="28"/>
        </w:rPr>
        <w:t xml:space="preserve">            По прогнозной оценке в 2016 году во всех категориях хозяйств ожидается получить:</w:t>
      </w:r>
    </w:p>
    <w:p w:rsidR="008410E3" w:rsidRDefault="008410E3" w:rsidP="008410E3">
      <w:pPr>
        <w:pStyle w:val="a6"/>
        <w:ind w:left="0"/>
        <w:jc w:val="both"/>
        <w:rPr>
          <w:sz w:val="28"/>
        </w:rPr>
      </w:pPr>
      <w:r>
        <w:rPr>
          <w:sz w:val="28"/>
        </w:rPr>
        <w:t xml:space="preserve">            - зерна (в весе после доработки) – 12090 </w:t>
      </w:r>
      <w:proofErr w:type="spellStart"/>
      <w:r>
        <w:rPr>
          <w:sz w:val="28"/>
        </w:rPr>
        <w:t>тн</w:t>
      </w:r>
      <w:proofErr w:type="spellEnd"/>
      <w:r>
        <w:rPr>
          <w:sz w:val="28"/>
        </w:rPr>
        <w:t xml:space="preserve"> (101,2% к 2015 году);</w:t>
      </w:r>
    </w:p>
    <w:p w:rsidR="008410E3" w:rsidRDefault="008410E3" w:rsidP="008410E3">
      <w:pPr>
        <w:pStyle w:val="a6"/>
        <w:ind w:left="0"/>
        <w:jc w:val="both"/>
        <w:rPr>
          <w:sz w:val="28"/>
        </w:rPr>
      </w:pPr>
      <w:r>
        <w:rPr>
          <w:sz w:val="28"/>
        </w:rPr>
        <w:t xml:space="preserve">            - картофеля                                    - 23630 </w:t>
      </w:r>
      <w:proofErr w:type="spellStart"/>
      <w:r>
        <w:rPr>
          <w:sz w:val="28"/>
        </w:rPr>
        <w:t>тн</w:t>
      </w:r>
      <w:proofErr w:type="spellEnd"/>
      <w:r>
        <w:rPr>
          <w:sz w:val="28"/>
        </w:rPr>
        <w:t xml:space="preserve"> (100,4%);</w:t>
      </w:r>
    </w:p>
    <w:p w:rsidR="008410E3" w:rsidRDefault="008410E3" w:rsidP="008410E3">
      <w:pPr>
        <w:pStyle w:val="a6"/>
        <w:ind w:left="0"/>
        <w:jc w:val="both"/>
        <w:rPr>
          <w:sz w:val="28"/>
        </w:rPr>
      </w:pPr>
      <w:r>
        <w:rPr>
          <w:sz w:val="28"/>
        </w:rPr>
        <w:t xml:space="preserve">            - овощей                                         - 11620 </w:t>
      </w:r>
      <w:proofErr w:type="spellStart"/>
      <w:r>
        <w:rPr>
          <w:sz w:val="28"/>
        </w:rPr>
        <w:t>тн</w:t>
      </w:r>
      <w:proofErr w:type="spellEnd"/>
      <w:r>
        <w:rPr>
          <w:sz w:val="28"/>
        </w:rPr>
        <w:t xml:space="preserve"> (105,7%)</w:t>
      </w:r>
    </w:p>
    <w:p w:rsidR="008410E3" w:rsidRDefault="008410E3" w:rsidP="008410E3">
      <w:pPr>
        <w:pStyle w:val="a6"/>
        <w:ind w:left="0"/>
        <w:jc w:val="both"/>
        <w:rPr>
          <w:sz w:val="28"/>
        </w:rPr>
      </w:pPr>
      <w:r>
        <w:rPr>
          <w:sz w:val="28"/>
        </w:rPr>
        <w:t xml:space="preserve">            - молока                                         - 19180 </w:t>
      </w:r>
      <w:proofErr w:type="spellStart"/>
      <w:r>
        <w:rPr>
          <w:sz w:val="28"/>
        </w:rPr>
        <w:t>тн</w:t>
      </w:r>
      <w:proofErr w:type="spellEnd"/>
      <w:r>
        <w:rPr>
          <w:sz w:val="28"/>
        </w:rPr>
        <w:t xml:space="preserve"> (91,5%) </w:t>
      </w:r>
    </w:p>
    <w:p w:rsidR="008410E3" w:rsidRDefault="008410E3" w:rsidP="008410E3">
      <w:pPr>
        <w:pStyle w:val="a6"/>
        <w:ind w:left="0"/>
        <w:jc w:val="both"/>
        <w:rPr>
          <w:sz w:val="28"/>
        </w:rPr>
      </w:pPr>
      <w:r>
        <w:rPr>
          <w:sz w:val="28"/>
        </w:rPr>
        <w:t xml:space="preserve">            - мяса (в живом весе)                     - 2550 </w:t>
      </w:r>
      <w:proofErr w:type="spellStart"/>
      <w:r>
        <w:rPr>
          <w:sz w:val="28"/>
        </w:rPr>
        <w:t>тн</w:t>
      </w:r>
      <w:proofErr w:type="spellEnd"/>
      <w:r>
        <w:rPr>
          <w:sz w:val="28"/>
        </w:rPr>
        <w:t xml:space="preserve"> (76,3%)</w:t>
      </w:r>
    </w:p>
    <w:p w:rsidR="008410E3" w:rsidRDefault="008410E3" w:rsidP="008410E3">
      <w:pPr>
        <w:pStyle w:val="a6"/>
        <w:ind w:left="0"/>
        <w:jc w:val="both"/>
        <w:rPr>
          <w:sz w:val="28"/>
        </w:rPr>
      </w:pPr>
      <w:r>
        <w:rPr>
          <w:sz w:val="28"/>
        </w:rPr>
        <w:t xml:space="preserve">            - яиц                                               - 105060 тыс. шт. (84,5%) </w:t>
      </w:r>
    </w:p>
    <w:p w:rsidR="008410E3" w:rsidRDefault="008410E3" w:rsidP="008410E3">
      <w:pPr>
        <w:pStyle w:val="a6"/>
        <w:ind w:left="0"/>
        <w:jc w:val="both"/>
        <w:rPr>
          <w:sz w:val="28"/>
        </w:rPr>
      </w:pPr>
      <w:r>
        <w:rPr>
          <w:sz w:val="28"/>
        </w:rPr>
        <w:t xml:space="preserve">            В целом по оценке в 2016 году всеми категориями хозяйств будет произведено сельскохозяйственной продукции в объеме 2399,05 млн. рублей или 91,3% к уровню 2015 года,</w:t>
      </w:r>
      <w:r w:rsidRPr="005E10A7">
        <w:rPr>
          <w:color w:val="000000"/>
          <w:sz w:val="28"/>
          <w:szCs w:val="28"/>
        </w:rPr>
        <w:t xml:space="preserve"> </w:t>
      </w:r>
      <w:r w:rsidRPr="007C5B62">
        <w:rPr>
          <w:color w:val="000000"/>
          <w:sz w:val="28"/>
          <w:szCs w:val="28"/>
        </w:rPr>
        <w:t>что связано с банкротством ООО СП «Русь».</w:t>
      </w:r>
      <w:r>
        <w:rPr>
          <w:sz w:val="28"/>
        </w:rPr>
        <w:t xml:space="preserve"> </w:t>
      </w:r>
    </w:p>
    <w:p w:rsidR="008410E3" w:rsidRDefault="008410E3" w:rsidP="008410E3">
      <w:pPr>
        <w:pStyle w:val="a6"/>
        <w:ind w:left="0"/>
        <w:jc w:val="both"/>
        <w:rPr>
          <w:sz w:val="28"/>
        </w:rPr>
      </w:pPr>
      <w:r>
        <w:rPr>
          <w:sz w:val="28"/>
        </w:rPr>
        <w:t xml:space="preserve">            В структуре валового производства продукции сельского хозяйства района на долю отрасли животноводства приходится 47,5%, отрасли растениеводства – 52,5%</w:t>
      </w:r>
    </w:p>
    <w:p w:rsidR="008410E3" w:rsidRDefault="008410E3" w:rsidP="008410E3">
      <w:pPr>
        <w:pStyle w:val="a6"/>
        <w:ind w:left="0"/>
        <w:jc w:val="both"/>
        <w:rPr>
          <w:sz w:val="28"/>
        </w:rPr>
      </w:pPr>
      <w:r>
        <w:rPr>
          <w:sz w:val="28"/>
        </w:rPr>
        <w:t xml:space="preserve">            Индекс производства сельхозпродукции согласно прогнозу составит в 2017 году – 101,2 процента, в 2018 году – 102,21 процента, в 2019 году – 102,5 процента  к уровню предыдущего года. </w:t>
      </w:r>
    </w:p>
    <w:p w:rsidR="008410E3" w:rsidRDefault="008410E3" w:rsidP="008410E3">
      <w:pPr>
        <w:pStyle w:val="a6"/>
        <w:ind w:left="0"/>
        <w:jc w:val="both"/>
        <w:rPr>
          <w:sz w:val="28"/>
        </w:rPr>
      </w:pPr>
    </w:p>
    <w:p w:rsidR="008410E3" w:rsidRDefault="008410E3" w:rsidP="008410E3">
      <w:pPr>
        <w:pStyle w:val="a6"/>
        <w:ind w:left="0"/>
        <w:jc w:val="both"/>
        <w:rPr>
          <w:sz w:val="28"/>
        </w:rPr>
      </w:pPr>
      <w:r>
        <w:rPr>
          <w:noProof/>
        </w:rPr>
        <w:lastRenderedPageBreak/>
        <w:drawing>
          <wp:inline distT="0" distB="0" distL="0" distR="0">
            <wp:extent cx="6238875" cy="35528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10E3" w:rsidRDefault="008410E3" w:rsidP="008410E3">
      <w:pPr>
        <w:ind w:firstLine="708"/>
        <w:jc w:val="center"/>
        <w:rPr>
          <w:b/>
          <w:sz w:val="28"/>
          <w:szCs w:val="28"/>
        </w:rPr>
      </w:pPr>
    </w:p>
    <w:p w:rsidR="008410E3" w:rsidRDefault="008410E3" w:rsidP="008410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поддержки сельскохозяйственных товаропроизводителей на территории района реализуются мероприятия следующих программ:</w:t>
      </w:r>
    </w:p>
    <w:p w:rsidR="008410E3" w:rsidRDefault="008410E3" w:rsidP="008410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животноводства и укрепление кормовой базы в сельхозпредприятиях Смоленского района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ленской области на 20</w:t>
      </w:r>
      <w:r w:rsidRPr="00E97918">
        <w:rPr>
          <w:sz w:val="28"/>
          <w:szCs w:val="28"/>
        </w:rPr>
        <w:t>1</w:t>
      </w:r>
      <w:r>
        <w:rPr>
          <w:sz w:val="28"/>
          <w:szCs w:val="28"/>
        </w:rPr>
        <w:t>6-2018 годы»;</w:t>
      </w:r>
    </w:p>
    <w:p w:rsidR="008410E3" w:rsidRDefault="008410E3" w:rsidP="008410E3">
      <w:pPr>
        <w:ind w:firstLine="720"/>
        <w:jc w:val="both"/>
      </w:pPr>
      <w:r>
        <w:rPr>
          <w:sz w:val="28"/>
          <w:szCs w:val="28"/>
        </w:rPr>
        <w:t>-</w:t>
      </w:r>
      <w:r w:rsidRPr="0032465D">
        <w:t xml:space="preserve"> </w:t>
      </w:r>
      <w:r w:rsidRPr="0032465D">
        <w:rPr>
          <w:sz w:val="28"/>
          <w:szCs w:val="28"/>
        </w:rPr>
        <w:t>«Устойчивое развитие сельских территорий Смоленского района Смоленской области на 2014-2017 годы и на период до 2020 года»</w:t>
      </w:r>
      <w:r>
        <w:t>.</w:t>
      </w:r>
    </w:p>
    <w:p w:rsidR="008410E3" w:rsidRDefault="008410E3" w:rsidP="008410E3">
      <w:pPr>
        <w:ind w:firstLine="720"/>
        <w:jc w:val="both"/>
        <w:rPr>
          <w:sz w:val="28"/>
          <w:szCs w:val="28"/>
        </w:rPr>
      </w:pPr>
    </w:p>
    <w:p w:rsidR="008410E3" w:rsidRDefault="008410E3" w:rsidP="008410E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СТРОИТЕЛЬСТВО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Ввод жилья по Смоленскому району за 2015 год составил 107156 кв. метров общей площадью жилья, что составляет 132,4% к соответствующему периоду 2014 года. Обеспеченность населения Смоленского района жильем по итогам 2015 года составила 24,3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/чел.</w:t>
      </w:r>
    </w:p>
    <w:p w:rsidR="008410E3" w:rsidRDefault="008410E3" w:rsidP="008410E3">
      <w:pPr>
        <w:pStyle w:val="ad"/>
        <w:ind w:firstLine="709"/>
        <w:rPr>
          <w:szCs w:val="28"/>
        </w:rPr>
      </w:pPr>
      <w:r>
        <w:rPr>
          <w:szCs w:val="28"/>
        </w:rPr>
        <w:t>В 2017</w:t>
      </w:r>
      <w:r w:rsidRPr="00BE11B7">
        <w:rPr>
          <w:szCs w:val="28"/>
        </w:rPr>
        <w:t xml:space="preserve"> году планируется дальнейшее развитие </w:t>
      </w:r>
      <w:r>
        <w:rPr>
          <w:szCs w:val="28"/>
        </w:rPr>
        <w:t>жилищного</w:t>
      </w:r>
      <w:r w:rsidRPr="00BE11B7">
        <w:rPr>
          <w:szCs w:val="28"/>
        </w:rPr>
        <w:t xml:space="preserve"> строительства. </w:t>
      </w:r>
      <w:proofErr w:type="gramStart"/>
      <w:r w:rsidRPr="00BE11B7">
        <w:rPr>
          <w:szCs w:val="28"/>
        </w:rPr>
        <w:t xml:space="preserve">В </w:t>
      </w:r>
      <w:r>
        <w:rPr>
          <w:szCs w:val="28"/>
        </w:rPr>
        <w:t xml:space="preserve">2017 году </w:t>
      </w:r>
      <w:r w:rsidRPr="00BE11B7">
        <w:rPr>
          <w:szCs w:val="28"/>
        </w:rPr>
        <w:t>планируе</w:t>
      </w:r>
      <w:r>
        <w:rPr>
          <w:szCs w:val="28"/>
        </w:rPr>
        <w:t xml:space="preserve">тся ввести  в эксплуатацию 124,1 тыс.кв.м. жилья, в 2018 году - </w:t>
      </w:r>
      <w:r w:rsidRPr="00BE11B7">
        <w:rPr>
          <w:szCs w:val="28"/>
        </w:rPr>
        <w:t xml:space="preserve"> </w:t>
      </w:r>
      <w:r>
        <w:rPr>
          <w:szCs w:val="28"/>
        </w:rPr>
        <w:t>132,2</w:t>
      </w:r>
      <w:r w:rsidRPr="0055658D">
        <w:rPr>
          <w:szCs w:val="28"/>
        </w:rPr>
        <w:t xml:space="preserve"> </w:t>
      </w:r>
      <w:r>
        <w:rPr>
          <w:szCs w:val="28"/>
        </w:rPr>
        <w:t xml:space="preserve">тыс.кв.м. жилья, в 2019 году – 138,1 тыс.кв.м. жилья. </w:t>
      </w:r>
      <w:proofErr w:type="gramEnd"/>
    </w:p>
    <w:p w:rsidR="008410E3" w:rsidRDefault="008410E3" w:rsidP="008410E3">
      <w:pPr>
        <w:pStyle w:val="ad"/>
        <w:ind w:firstLine="709"/>
        <w:rPr>
          <w:szCs w:val="28"/>
        </w:rPr>
      </w:pPr>
      <w:r>
        <w:rPr>
          <w:szCs w:val="28"/>
        </w:rPr>
        <w:t xml:space="preserve">Жилье, признанное в установленном порядке аварийным в муниципальном образовании отсутствует. </w:t>
      </w:r>
    </w:p>
    <w:p w:rsidR="008410E3" w:rsidRDefault="008410E3" w:rsidP="008410E3">
      <w:pPr>
        <w:pStyle w:val="ad"/>
      </w:pPr>
      <w:r>
        <w:t xml:space="preserve">         </w:t>
      </w:r>
      <w:r>
        <w:tab/>
      </w:r>
    </w:p>
    <w:p w:rsidR="008410E3" w:rsidRDefault="008410E3" w:rsidP="008410E3">
      <w:pPr>
        <w:pStyle w:val="ad"/>
        <w:jc w:val="center"/>
      </w:pPr>
      <w:r>
        <w:t>ПОТРЕБИТЕЛЬСКИЙ  РЫНОК</w:t>
      </w:r>
    </w:p>
    <w:p w:rsidR="008410E3" w:rsidRDefault="008410E3" w:rsidP="008410E3">
      <w:pPr>
        <w:pStyle w:val="ad"/>
      </w:pPr>
      <w:r>
        <w:t xml:space="preserve">            Прогноз развития потребительского рынка товаров и услуг в среднесрочной перспективе учитывает влияние инфляционных процессов, роста реальных денежных доходов населения, а также изменение ситуации в банковском кредитовании.</w:t>
      </w:r>
    </w:p>
    <w:p w:rsidR="008410E3" w:rsidRDefault="008410E3" w:rsidP="008410E3">
      <w:pPr>
        <w:pStyle w:val="ad"/>
      </w:pPr>
      <w:r>
        <w:t xml:space="preserve">            </w:t>
      </w:r>
      <w:r w:rsidRPr="00864321">
        <w:t xml:space="preserve">В Смоленском районе функционирует </w:t>
      </w:r>
      <w:r>
        <w:t>243</w:t>
      </w:r>
      <w:r w:rsidRPr="00864321">
        <w:t xml:space="preserve"> п</w:t>
      </w:r>
      <w:r>
        <w:t>редприятий розничной торговли, 73</w:t>
      </w:r>
      <w:r w:rsidRPr="00864321">
        <w:t xml:space="preserve"> предприятия общественного питания, </w:t>
      </w:r>
      <w:r>
        <w:t>79 предприятий</w:t>
      </w:r>
      <w:r w:rsidRPr="00864321">
        <w:t xml:space="preserve"> бытового обслуживания.</w:t>
      </w:r>
      <w:r>
        <w:t xml:space="preserve">                               </w:t>
      </w:r>
    </w:p>
    <w:p w:rsidR="008410E3" w:rsidRDefault="008410E3" w:rsidP="008410E3">
      <w:pPr>
        <w:pStyle w:val="ad"/>
        <w:rPr>
          <w:szCs w:val="28"/>
        </w:rPr>
      </w:pPr>
      <w:r>
        <w:t xml:space="preserve">            </w:t>
      </w:r>
      <w:r w:rsidRPr="00BE11B7">
        <w:rPr>
          <w:szCs w:val="28"/>
        </w:rPr>
        <w:t xml:space="preserve">На  протяжении ряда лет в </w:t>
      </w:r>
      <w:r>
        <w:rPr>
          <w:szCs w:val="28"/>
        </w:rPr>
        <w:t>районе наблюдается, рост оборота розничной торговли и развитие инфраструктуры.</w:t>
      </w:r>
    </w:p>
    <w:p w:rsidR="008410E3" w:rsidRDefault="008410E3" w:rsidP="008410E3">
      <w:pPr>
        <w:pStyle w:val="ad"/>
        <w:rPr>
          <w:szCs w:val="28"/>
        </w:rPr>
      </w:pPr>
      <w:r>
        <w:rPr>
          <w:szCs w:val="28"/>
        </w:rPr>
        <w:t xml:space="preserve">            По оценке  в 2016 году объем оборота розничной торговли по организациям, не относящимся к субъектам малого предпринимательства, с численностью работающих более 15 человек (включая средние организации) составит 482 млн. рублей, 104% к уровню 2015 года. Доля продовольственных товаров в структуре товарооборота составляет 70%.</w:t>
      </w:r>
    </w:p>
    <w:p w:rsidR="008410E3" w:rsidRDefault="008410E3" w:rsidP="008410E3">
      <w:pPr>
        <w:pStyle w:val="ad"/>
        <w:rPr>
          <w:szCs w:val="28"/>
        </w:rPr>
      </w:pPr>
      <w:r>
        <w:rPr>
          <w:szCs w:val="28"/>
        </w:rPr>
        <w:lastRenderedPageBreak/>
        <w:t xml:space="preserve">            В сфере торговли происходят качественные изменения. Развиваются прогрессивные формы торговли, такие как самообслуживание, продажа по предварительным заказам.</w:t>
      </w:r>
    </w:p>
    <w:p w:rsidR="008410E3" w:rsidRPr="00BE11B7" w:rsidRDefault="008410E3" w:rsidP="008410E3">
      <w:pPr>
        <w:pStyle w:val="ad"/>
        <w:rPr>
          <w:szCs w:val="28"/>
        </w:rPr>
      </w:pPr>
      <w:r>
        <w:rPr>
          <w:szCs w:val="28"/>
        </w:rPr>
        <w:t xml:space="preserve">          </w:t>
      </w:r>
      <w:r w:rsidRPr="00BE11B7">
        <w:rPr>
          <w:szCs w:val="28"/>
        </w:rPr>
        <w:t xml:space="preserve"> </w:t>
      </w:r>
      <w:r>
        <w:rPr>
          <w:szCs w:val="28"/>
        </w:rPr>
        <w:t xml:space="preserve"> В 2017</w:t>
      </w:r>
      <w:r w:rsidRPr="00BE11B7">
        <w:rPr>
          <w:szCs w:val="28"/>
        </w:rPr>
        <w:t xml:space="preserve"> году в связи с ростом среднедушевых доходов ожидается прирост оборота розничной торговли на </w:t>
      </w:r>
      <w:r>
        <w:rPr>
          <w:szCs w:val="28"/>
        </w:rPr>
        <w:t>103%, в 2018</w:t>
      </w:r>
      <w:r w:rsidRPr="00BE11B7">
        <w:rPr>
          <w:szCs w:val="28"/>
        </w:rPr>
        <w:t xml:space="preserve">г. – на </w:t>
      </w:r>
      <w:r>
        <w:rPr>
          <w:szCs w:val="28"/>
        </w:rPr>
        <w:t>104</w:t>
      </w:r>
      <w:r w:rsidRPr="00BE11B7">
        <w:rPr>
          <w:szCs w:val="28"/>
        </w:rPr>
        <w:t>%, в 201</w:t>
      </w:r>
      <w:r>
        <w:rPr>
          <w:szCs w:val="28"/>
        </w:rPr>
        <w:t>9</w:t>
      </w:r>
      <w:r w:rsidRPr="00BE11B7">
        <w:rPr>
          <w:szCs w:val="28"/>
        </w:rPr>
        <w:t xml:space="preserve">г. – </w:t>
      </w:r>
      <w:proofErr w:type="gramStart"/>
      <w:r w:rsidRPr="00BE11B7">
        <w:rPr>
          <w:szCs w:val="28"/>
        </w:rPr>
        <w:t>на</w:t>
      </w:r>
      <w:proofErr w:type="gramEnd"/>
      <w:r w:rsidRPr="00BE11B7">
        <w:rPr>
          <w:szCs w:val="28"/>
        </w:rPr>
        <w:t xml:space="preserve"> </w:t>
      </w:r>
      <w:r>
        <w:rPr>
          <w:szCs w:val="28"/>
        </w:rPr>
        <w:t>104</w:t>
      </w:r>
      <w:r w:rsidRPr="00BE11B7">
        <w:rPr>
          <w:szCs w:val="28"/>
        </w:rPr>
        <w:t>%.</w:t>
      </w:r>
    </w:p>
    <w:p w:rsidR="008410E3" w:rsidRDefault="008410E3" w:rsidP="008410E3">
      <w:pPr>
        <w:pStyle w:val="ad"/>
      </w:pPr>
      <w:r>
        <w:t xml:space="preserve">            Товарная обеспеченность торговой сети Смоленского района продовольственными и промышленными товарами по-прежнему сохранится на достойном уровне. Платежеспособный спрос населения на важнейшие продукты питания и промышленные товары будет удовлетворяться в полной мере.</w:t>
      </w:r>
    </w:p>
    <w:p w:rsidR="008410E3" w:rsidRDefault="008410E3" w:rsidP="008410E3">
      <w:pPr>
        <w:pStyle w:val="ad"/>
      </w:pPr>
      <w:r>
        <w:t xml:space="preserve">            Жителей отдаленных малонаселенных деревень, где нет стационарных торговых точек, обслуживают 4 </w:t>
      </w:r>
      <w:proofErr w:type="spellStart"/>
      <w:r>
        <w:t>автомагазина</w:t>
      </w:r>
      <w:proofErr w:type="spellEnd"/>
      <w:r>
        <w:t xml:space="preserve"> </w:t>
      </w:r>
      <w:proofErr w:type="gramStart"/>
      <w:r>
        <w:t>Смоленского</w:t>
      </w:r>
      <w:proofErr w:type="gramEnd"/>
      <w:r>
        <w:t xml:space="preserve"> </w:t>
      </w:r>
      <w:proofErr w:type="spellStart"/>
      <w:r>
        <w:t>райпо</w:t>
      </w:r>
      <w:proofErr w:type="spellEnd"/>
      <w:r>
        <w:t xml:space="preserve"> и индивидуальные предприниматели.</w:t>
      </w:r>
    </w:p>
    <w:p w:rsidR="008410E3" w:rsidRDefault="008410E3" w:rsidP="008410E3">
      <w:pPr>
        <w:pStyle w:val="ad"/>
      </w:pPr>
    </w:p>
    <w:p w:rsidR="008410E3" w:rsidRDefault="008410E3" w:rsidP="008410E3">
      <w:pPr>
        <w:pStyle w:val="ad"/>
        <w:jc w:val="center"/>
      </w:pPr>
      <w:r>
        <w:t>Платные услуги</w:t>
      </w:r>
    </w:p>
    <w:p w:rsidR="008410E3" w:rsidRDefault="008410E3" w:rsidP="008410E3">
      <w:pPr>
        <w:pStyle w:val="ad"/>
      </w:pPr>
      <w:r>
        <w:t xml:space="preserve">              По оценке 2016 года объем платных услуг населению по организациям, не относящимся к субъектам малого предпринимательства, с численностью работающих более 15 человек (включая средние организации) составит 68,7 млн. рублей, что в сопоставимых ценах составляет 102% к уровню прошлого года.</w:t>
      </w:r>
    </w:p>
    <w:p w:rsidR="008410E3" w:rsidRDefault="008410E3" w:rsidP="008410E3">
      <w:pPr>
        <w:pStyle w:val="ad"/>
        <w:ind w:firstLine="993"/>
        <w:rPr>
          <w:szCs w:val="28"/>
        </w:rPr>
      </w:pPr>
      <w:r>
        <w:rPr>
          <w:szCs w:val="28"/>
        </w:rPr>
        <w:t>В 2017</w:t>
      </w:r>
      <w:r w:rsidRPr="00BE11B7">
        <w:rPr>
          <w:szCs w:val="28"/>
        </w:rPr>
        <w:t xml:space="preserve"> году планируется оказать услуг населению в объеме </w:t>
      </w:r>
      <w:r>
        <w:rPr>
          <w:szCs w:val="28"/>
        </w:rPr>
        <w:t xml:space="preserve">74,7 </w:t>
      </w:r>
      <w:r w:rsidRPr="00BE11B7">
        <w:rPr>
          <w:szCs w:val="28"/>
        </w:rPr>
        <w:t>млн.</w:t>
      </w:r>
      <w:r>
        <w:rPr>
          <w:szCs w:val="28"/>
        </w:rPr>
        <w:t xml:space="preserve"> </w:t>
      </w:r>
      <w:r w:rsidRPr="00BE11B7">
        <w:rPr>
          <w:szCs w:val="28"/>
        </w:rPr>
        <w:t>руб., что в сопоставимых ценах к соответствующему пери</w:t>
      </w:r>
      <w:r>
        <w:rPr>
          <w:szCs w:val="28"/>
        </w:rPr>
        <w:t>оду прошлого года составит 103</w:t>
      </w:r>
      <w:r w:rsidRPr="00BE11B7">
        <w:rPr>
          <w:szCs w:val="28"/>
        </w:rPr>
        <w:t>%.   Общая динамика развития рынка услуг определяется потребительским поведением населения на рынке жилищно-коммунальных, транспортных и отдельных видов бытовых услуг, являющихся социально значимыми.</w:t>
      </w:r>
    </w:p>
    <w:p w:rsidR="008410E3" w:rsidRDefault="008410E3" w:rsidP="008410E3">
      <w:pPr>
        <w:pStyle w:val="ad"/>
        <w:ind w:firstLine="993"/>
        <w:rPr>
          <w:szCs w:val="28"/>
        </w:rPr>
      </w:pPr>
      <w:r>
        <w:rPr>
          <w:szCs w:val="28"/>
        </w:rPr>
        <w:t>По прогнозу в 2019</w:t>
      </w:r>
      <w:r w:rsidRPr="00BE11B7">
        <w:rPr>
          <w:szCs w:val="28"/>
        </w:rPr>
        <w:t xml:space="preserve"> году ожидается увеличение объема реализации </w:t>
      </w:r>
      <w:r>
        <w:rPr>
          <w:szCs w:val="28"/>
        </w:rPr>
        <w:t>платных услуг населению до 88,7</w:t>
      </w:r>
      <w:r w:rsidRPr="00BE11B7">
        <w:rPr>
          <w:szCs w:val="28"/>
        </w:rPr>
        <w:t xml:space="preserve"> млн.</w:t>
      </w:r>
      <w:r>
        <w:rPr>
          <w:szCs w:val="28"/>
        </w:rPr>
        <w:t xml:space="preserve"> </w:t>
      </w:r>
      <w:r w:rsidRPr="00BE11B7">
        <w:rPr>
          <w:szCs w:val="28"/>
        </w:rPr>
        <w:t xml:space="preserve">руб. и сохранится позитивная динамика развития </w:t>
      </w:r>
      <w:r>
        <w:rPr>
          <w:szCs w:val="28"/>
        </w:rPr>
        <w:t xml:space="preserve">данного </w:t>
      </w:r>
      <w:r w:rsidRPr="00BE11B7">
        <w:rPr>
          <w:szCs w:val="28"/>
        </w:rPr>
        <w:t>рынка.</w:t>
      </w:r>
    </w:p>
    <w:p w:rsidR="008410E3" w:rsidRDefault="008410E3" w:rsidP="008410E3">
      <w:pPr>
        <w:pStyle w:val="ad"/>
        <w:ind w:firstLine="993"/>
        <w:rPr>
          <w:szCs w:val="28"/>
        </w:rPr>
      </w:pPr>
    </w:p>
    <w:p w:rsidR="008410E3" w:rsidRDefault="008410E3" w:rsidP="008410E3">
      <w:pPr>
        <w:pStyle w:val="ad"/>
        <w:ind w:left="284"/>
        <w:rPr>
          <w:szCs w:val="28"/>
        </w:rPr>
      </w:pPr>
      <w:r>
        <w:rPr>
          <w:noProof/>
        </w:rPr>
        <w:drawing>
          <wp:inline distT="0" distB="0" distL="0" distR="0">
            <wp:extent cx="6276975" cy="389572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10E3" w:rsidRDefault="008410E3" w:rsidP="008410E3">
      <w:pPr>
        <w:pStyle w:val="ad"/>
      </w:pPr>
      <w:r>
        <w:t xml:space="preserve">              </w:t>
      </w:r>
    </w:p>
    <w:p w:rsidR="008410E3" w:rsidRDefault="008410E3" w:rsidP="008410E3">
      <w:pPr>
        <w:pStyle w:val="ad"/>
      </w:pPr>
      <w:r>
        <w:t xml:space="preserve">               Несмотря на различные тенденции развития отдельных видов услуг, видовая структура не претерпит значительных изменений. По-прежнему основную долю – 82%  от общего объема расходов населения на услуги будет </w:t>
      </w:r>
      <w:proofErr w:type="gramStart"/>
      <w:r>
        <w:t>приходится</w:t>
      </w:r>
      <w:proofErr w:type="gramEnd"/>
      <w:r>
        <w:t xml:space="preserve"> на «обязательные» услуги  (жилищно-коммунальные, услуги пассажирского транспорта и бытовые услуги), около 18% - на услуги реализуемые в сфере культуры, образования, туристические, санаторно-оздоровительные, медицинские услуги, ветеринарный и прочие.</w:t>
      </w:r>
    </w:p>
    <w:p w:rsidR="008410E3" w:rsidRDefault="008410E3" w:rsidP="008410E3">
      <w:pPr>
        <w:pStyle w:val="ad"/>
      </w:pPr>
      <w:r>
        <w:t xml:space="preserve">  </w:t>
      </w:r>
    </w:p>
    <w:p w:rsidR="008410E3" w:rsidRDefault="008410E3" w:rsidP="008410E3">
      <w:pPr>
        <w:pStyle w:val="ad"/>
        <w:ind w:firstLine="993"/>
        <w:jc w:val="center"/>
      </w:pPr>
    </w:p>
    <w:p w:rsidR="008410E3" w:rsidRDefault="008410E3" w:rsidP="008410E3">
      <w:pPr>
        <w:pStyle w:val="ad"/>
        <w:ind w:firstLine="993"/>
        <w:jc w:val="center"/>
      </w:pPr>
      <w:r>
        <w:lastRenderedPageBreak/>
        <w:t>МАЛОЕ И СРЕДНЕЕ ПРЕДПРИНИМАТЕЛЬСТВО</w:t>
      </w:r>
    </w:p>
    <w:p w:rsidR="008410E3" w:rsidRDefault="008410E3" w:rsidP="008410E3">
      <w:pPr>
        <w:pStyle w:val="ad"/>
        <w:ind w:firstLine="993"/>
      </w:pPr>
      <w:r>
        <w:t>Согласно статистическим данным на начало 2016 года в Смоленском районе насчитывалось 1899 малых и средних предприятия со среднесписочной численностью 6,865 тыс. человек.</w:t>
      </w:r>
    </w:p>
    <w:p w:rsidR="008410E3" w:rsidRDefault="008410E3" w:rsidP="008410E3">
      <w:pPr>
        <w:pStyle w:val="ad"/>
        <w:ind w:firstLine="993"/>
      </w:pPr>
      <w:r>
        <w:t>В общем числе субъектов малого и среднего предпринимательства доминирует доля субъектов малого предпринимательства в непроизводственной сфере деятельности (оптовая и розничная торговля – 44% от общего количества).</w:t>
      </w:r>
    </w:p>
    <w:p w:rsidR="008410E3" w:rsidRDefault="008410E3" w:rsidP="008410E3">
      <w:pPr>
        <w:pStyle w:val="ad"/>
      </w:pPr>
      <w:r>
        <w:rPr>
          <w:noProof/>
        </w:rPr>
        <w:drawing>
          <wp:inline distT="0" distB="0" distL="0" distR="0">
            <wp:extent cx="6086475" cy="373380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10E3" w:rsidRDefault="008410E3" w:rsidP="008410E3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34EB5">
        <w:rPr>
          <w:sz w:val="28"/>
          <w:szCs w:val="28"/>
        </w:rPr>
        <w:t>Поддержка малого и среднего предпринимательства в прогнозном периоде будет осуществляться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рамках подпрограммы </w:t>
      </w:r>
      <w:r>
        <w:rPr>
          <w:sz w:val="28"/>
          <w:szCs w:val="28"/>
        </w:rPr>
        <w:t>«Развитие малого и среднего предпринимательства в Смоленской области» на 2014-2020 годы</w:t>
      </w:r>
      <w:r>
        <w:rPr>
          <w:sz w:val="28"/>
          <w:szCs w:val="28"/>
          <w:lang w:eastAsia="en-US"/>
        </w:rPr>
        <w:t xml:space="preserve">, входящей в состав областной государственной программы </w:t>
      </w:r>
      <w:r>
        <w:rPr>
          <w:sz w:val="28"/>
          <w:szCs w:val="28"/>
        </w:rPr>
        <w:t xml:space="preserve">«Экономическое развитие Смоленской области, включая создание благоприятного предпринимательского и инвестиционного климата» на 2014-2020 годы. </w:t>
      </w:r>
    </w:p>
    <w:p w:rsidR="008410E3" w:rsidRPr="00BE11B7" w:rsidRDefault="008410E3" w:rsidP="008410E3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рамках программы предусмотрено предоставление субсидий субъектам малого и среднего предпринимательства на возмещение части затрат на технологическое присоединение к электрическим сетям, </w:t>
      </w:r>
      <w:r w:rsidRPr="00796509">
        <w:rPr>
          <w:sz w:val="28"/>
          <w:szCs w:val="28"/>
        </w:rPr>
        <w:t>на возмещение части затрат на уплату первого взноса (аванса), заключившим договор лизинга оборудования</w:t>
      </w:r>
      <w:r w:rsidRPr="00C11AD9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с российскими лизинговыми организациями</w:t>
      </w:r>
      <w:r>
        <w:rPr>
          <w:sz w:val="28"/>
          <w:szCs w:val="28"/>
        </w:rPr>
        <w:t xml:space="preserve">, </w:t>
      </w:r>
      <w:r w:rsidRPr="00796509">
        <w:rPr>
          <w:sz w:val="28"/>
          <w:szCs w:val="28"/>
        </w:rPr>
        <w:t>на возмещение части затрат, связанных с приобретением оборудования в целях создания, и (или) развития, и (или) модернизации производства товаров</w:t>
      </w:r>
      <w:r>
        <w:rPr>
          <w:sz w:val="28"/>
          <w:szCs w:val="28"/>
          <w:lang/>
        </w:rPr>
        <w:t>,</w:t>
      </w:r>
      <w:r>
        <w:rPr>
          <w:sz w:val="28"/>
          <w:szCs w:val="28"/>
          <w:lang/>
        </w:rPr>
        <w:t xml:space="preserve"> по участию в</w:t>
      </w:r>
      <w:proofErr w:type="gramEnd"/>
      <w:r>
        <w:rPr>
          <w:sz w:val="28"/>
          <w:szCs w:val="28"/>
          <w:lang/>
        </w:rPr>
        <w:t xml:space="preserve"> международных и межрегиональных выставочно-ярмарочных и </w:t>
      </w:r>
      <w:proofErr w:type="spellStart"/>
      <w:r>
        <w:rPr>
          <w:sz w:val="28"/>
          <w:szCs w:val="28"/>
          <w:lang/>
        </w:rPr>
        <w:t>конгрессных</w:t>
      </w:r>
      <w:proofErr w:type="spellEnd"/>
      <w:r>
        <w:rPr>
          <w:sz w:val="28"/>
          <w:szCs w:val="28"/>
          <w:lang/>
        </w:rPr>
        <w:t xml:space="preserve"> мероприятиях</w:t>
      </w:r>
      <w:r>
        <w:rPr>
          <w:sz w:val="28"/>
          <w:szCs w:val="28"/>
        </w:rPr>
        <w:t>.</w:t>
      </w:r>
    </w:p>
    <w:p w:rsidR="008410E3" w:rsidRPr="00BE11B7" w:rsidRDefault="008410E3" w:rsidP="008410E3">
      <w:pPr>
        <w:pStyle w:val="11"/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BE11B7">
        <w:rPr>
          <w:sz w:val="28"/>
          <w:szCs w:val="28"/>
        </w:rPr>
        <w:t>Прогноз развития малого и среднего пр</w:t>
      </w:r>
      <w:r>
        <w:rPr>
          <w:sz w:val="28"/>
          <w:szCs w:val="28"/>
        </w:rPr>
        <w:t>едпринимательства на период 2017-2019</w:t>
      </w:r>
      <w:r w:rsidRPr="00BE11B7">
        <w:rPr>
          <w:sz w:val="28"/>
          <w:szCs w:val="28"/>
        </w:rPr>
        <w:t xml:space="preserve"> годы рассчитан на основании анализа статистических данных, индексов-дефляторов, оценки развития м</w:t>
      </w:r>
      <w:r>
        <w:rPr>
          <w:sz w:val="28"/>
          <w:szCs w:val="28"/>
        </w:rPr>
        <w:t>алого предпринимательства в 2016</w:t>
      </w:r>
      <w:r w:rsidRPr="00BE11B7">
        <w:rPr>
          <w:sz w:val="28"/>
          <w:szCs w:val="28"/>
        </w:rPr>
        <w:t xml:space="preserve"> году.</w:t>
      </w:r>
    </w:p>
    <w:p w:rsidR="008410E3" w:rsidRPr="00BE11B7" w:rsidRDefault="008410E3" w:rsidP="008410E3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11B7">
        <w:rPr>
          <w:sz w:val="28"/>
          <w:szCs w:val="28"/>
        </w:rPr>
        <w:t>Число предп</w:t>
      </w:r>
      <w:r>
        <w:rPr>
          <w:sz w:val="28"/>
          <w:szCs w:val="28"/>
        </w:rPr>
        <w:t>риятий малого и среднего предпринимательства</w:t>
      </w:r>
      <w:r w:rsidRPr="00BE11B7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BE11B7">
        <w:rPr>
          <w:sz w:val="28"/>
          <w:szCs w:val="28"/>
        </w:rPr>
        <w:t xml:space="preserve"> году по прогнозным данным составит </w:t>
      </w:r>
      <w:r>
        <w:rPr>
          <w:sz w:val="28"/>
          <w:szCs w:val="28"/>
        </w:rPr>
        <w:t xml:space="preserve"> 1902</w:t>
      </w:r>
      <w:r w:rsidRPr="00BE11B7">
        <w:rPr>
          <w:sz w:val="28"/>
          <w:szCs w:val="28"/>
        </w:rPr>
        <w:t xml:space="preserve">  единиц</w:t>
      </w:r>
      <w:r>
        <w:rPr>
          <w:sz w:val="28"/>
          <w:szCs w:val="28"/>
        </w:rPr>
        <w:t>ы, а к 2019 году увеличится до 1985 единиц.</w:t>
      </w:r>
      <w:r w:rsidRPr="00BE11B7">
        <w:rPr>
          <w:sz w:val="28"/>
          <w:szCs w:val="28"/>
        </w:rPr>
        <w:t xml:space="preserve"> </w:t>
      </w:r>
      <w:r>
        <w:rPr>
          <w:sz w:val="28"/>
          <w:szCs w:val="28"/>
        </w:rPr>
        <w:t>В 2016</w:t>
      </w:r>
      <w:r w:rsidRPr="00BE11B7">
        <w:rPr>
          <w:sz w:val="28"/>
          <w:szCs w:val="28"/>
        </w:rPr>
        <w:t xml:space="preserve"> году численность занятых на малых и средних предпр</w:t>
      </w:r>
      <w:r>
        <w:rPr>
          <w:sz w:val="28"/>
          <w:szCs w:val="28"/>
        </w:rPr>
        <w:t xml:space="preserve">иятиях оценивается на уровне 6,941 тыс. человек, </w:t>
      </w:r>
      <w:r w:rsidRPr="00BE11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E11B7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году</w:t>
      </w:r>
      <w:r w:rsidRPr="00BE11B7">
        <w:rPr>
          <w:sz w:val="28"/>
          <w:szCs w:val="28"/>
        </w:rPr>
        <w:t xml:space="preserve">   численность работнико</w:t>
      </w:r>
      <w:r>
        <w:rPr>
          <w:sz w:val="28"/>
          <w:szCs w:val="28"/>
        </w:rPr>
        <w:t xml:space="preserve">в  </w:t>
      </w:r>
      <w:r>
        <w:rPr>
          <w:sz w:val="28"/>
          <w:szCs w:val="28"/>
        </w:rPr>
        <w:lastRenderedPageBreak/>
        <w:t>прогнозируется на уровне 7,232</w:t>
      </w:r>
      <w:r w:rsidRPr="00BE11B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E11B7">
        <w:rPr>
          <w:sz w:val="28"/>
          <w:szCs w:val="28"/>
        </w:rPr>
        <w:t>чел</w:t>
      </w:r>
      <w:r>
        <w:rPr>
          <w:sz w:val="28"/>
          <w:szCs w:val="28"/>
        </w:rPr>
        <w:t>овек</w:t>
      </w:r>
      <w:r w:rsidRPr="00BE11B7">
        <w:rPr>
          <w:sz w:val="28"/>
          <w:szCs w:val="28"/>
        </w:rPr>
        <w:t>.</w:t>
      </w:r>
    </w:p>
    <w:p w:rsidR="008410E3" w:rsidRPr="006E2DDF" w:rsidRDefault="008410E3" w:rsidP="008410E3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E2DDF">
        <w:rPr>
          <w:sz w:val="28"/>
          <w:szCs w:val="28"/>
        </w:rPr>
        <w:t>Индекс производства малых и средних предприятий на протяжении прогнозируемого периода будет иметь положительную динамику</w:t>
      </w:r>
      <w:r>
        <w:rPr>
          <w:sz w:val="28"/>
          <w:szCs w:val="28"/>
        </w:rPr>
        <w:t xml:space="preserve">: 107% </w:t>
      </w:r>
      <w:r>
        <w:rPr>
          <w:sz w:val="28"/>
          <w:szCs w:val="28"/>
        </w:rPr>
        <w:br/>
        <w:t>в 2017 году, 106,6% -  в 2018 году и 106,3</w:t>
      </w:r>
      <w:r w:rsidRPr="006E2DDF">
        <w:rPr>
          <w:sz w:val="28"/>
          <w:szCs w:val="28"/>
        </w:rPr>
        <w:t xml:space="preserve">% - </w:t>
      </w:r>
      <w:r>
        <w:rPr>
          <w:sz w:val="28"/>
          <w:szCs w:val="28"/>
        </w:rPr>
        <w:t xml:space="preserve"> в 2019</w:t>
      </w:r>
      <w:r w:rsidRPr="006E2DDF">
        <w:rPr>
          <w:sz w:val="28"/>
          <w:szCs w:val="28"/>
        </w:rPr>
        <w:t xml:space="preserve"> году. </w:t>
      </w:r>
      <w:r>
        <w:rPr>
          <w:sz w:val="28"/>
          <w:szCs w:val="28"/>
        </w:rPr>
        <w:t>Прогнозируемый рост оборота малых и средних предприятий связан с ожидаемым ростом потребительского спроса, поддержанным увеличением денежных доходов населения.</w:t>
      </w:r>
    </w:p>
    <w:p w:rsidR="008410E3" w:rsidRPr="006E2DDF" w:rsidRDefault="008410E3" w:rsidP="008410E3">
      <w:pPr>
        <w:pStyle w:val="ad"/>
        <w:ind w:firstLine="708"/>
        <w:rPr>
          <w:b/>
        </w:rPr>
      </w:pPr>
      <w:r>
        <w:t xml:space="preserve"> </w:t>
      </w:r>
    </w:p>
    <w:p w:rsidR="008410E3" w:rsidRDefault="008410E3" w:rsidP="008410E3"/>
    <w:p w:rsidR="008410E3" w:rsidRPr="00CA54AD" w:rsidRDefault="008410E3" w:rsidP="008410E3">
      <w:pPr>
        <w:pStyle w:val="1"/>
        <w:tabs>
          <w:tab w:val="left" w:pos="708"/>
        </w:tabs>
        <w:rPr>
          <w:sz w:val="28"/>
          <w:szCs w:val="28"/>
        </w:rPr>
      </w:pPr>
      <w:r w:rsidRPr="00CA54AD">
        <w:rPr>
          <w:sz w:val="28"/>
          <w:szCs w:val="28"/>
        </w:rPr>
        <w:t>ИНВЕСТИЦИИ</w:t>
      </w:r>
    </w:p>
    <w:p w:rsidR="008410E3" w:rsidRPr="001741DE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41DE">
        <w:rPr>
          <w:sz w:val="28"/>
          <w:szCs w:val="28"/>
        </w:rPr>
        <w:t xml:space="preserve">Прогноз развития инвестиционной деятельности в </w:t>
      </w:r>
      <w:r>
        <w:rPr>
          <w:sz w:val="28"/>
          <w:szCs w:val="28"/>
        </w:rPr>
        <w:t>2016-2019</w:t>
      </w:r>
      <w:r w:rsidRPr="001741DE">
        <w:rPr>
          <w:sz w:val="28"/>
          <w:szCs w:val="28"/>
        </w:rPr>
        <w:t xml:space="preserve"> годах разработан на основе данных предприятий и организаций Смоленского района о планируемых на указанный период объемах инвестиций в основной капитал, а также с учетом реализации на территории Смоленского района инвестиционных проектов.</w:t>
      </w:r>
    </w:p>
    <w:p w:rsidR="008410E3" w:rsidRPr="001741DE" w:rsidRDefault="008410E3" w:rsidP="008410E3">
      <w:pPr>
        <w:jc w:val="both"/>
        <w:rPr>
          <w:sz w:val="28"/>
          <w:szCs w:val="28"/>
        </w:rPr>
      </w:pPr>
      <w:r w:rsidRPr="001741DE">
        <w:rPr>
          <w:sz w:val="28"/>
          <w:szCs w:val="28"/>
        </w:rPr>
        <w:t xml:space="preserve">            Объем инвестиций в основной капитал по полному кругу организаций за  201</w:t>
      </w:r>
      <w:r>
        <w:rPr>
          <w:sz w:val="28"/>
          <w:szCs w:val="28"/>
        </w:rPr>
        <w:t>5</w:t>
      </w:r>
      <w:r w:rsidRPr="001741DE">
        <w:rPr>
          <w:sz w:val="28"/>
          <w:szCs w:val="28"/>
        </w:rPr>
        <w:t xml:space="preserve"> году оценивается на уровне </w:t>
      </w:r>
      <w:r>
        <w:rPr>
          <w:sz w:val="28"/>
          <w:szCs w:val="28"/>
        </w:rPr>
        <w:t>2098,028</w:t>
      </w:r>
      <w:r w:rsidRPr="00F83A05">
        <w:rPr>
          <w:sz w:val="28"/>
          <w:szCs w:val="28"/>
        </w:rPr>
        <w:t xml:space="preserve">  млн. руб., или </w:t>
      </w:r>
      <w:r>
        <w:rPr>
          <w:sz w:val="28"/>
          <w:szCs w:val="28"/>
        </w:rPr>
        <w:t>101,7%</w:t>
      </w:r>
      <w:r>
        <w:rPr>
          <w:color w:val="FF0000"/>
          <w:sz w:val="28"/>
          <w:szCs w:val="28"/>
        </w:rPr>
        <w:t xml:space="preserve"> </w:t>
      </w:r>
      <w:r w:rsidRPr="001741DE">
        <w:rPr>
          <w:sz w:val="28"/>
          <w:szCs w:val="28"/>
        </w:rPr>
        <w:t xml:space="preserve"> к  201</w:t>
      </w:r>
      <w:r>
        <w:rPr>
          <w:sz w:val="28"/>
          <w:szCs w:val="28"/>
        </w:rPr>
        <w:t>4</w:t>
      </w:r>
      <w:r w:rsidRPr="001741DE">
        <w:rPr>
          <w:sz w:val="28"/>
          <w:szCs w:val="28"/>
        </w:rPr>
        <w:t xml:space="preserve"> году. В 201</w:t>
      </w:r>
      <w:r>
        <w:rPr>
          <w:sz w:val="28"/>
          <w:szCs w:val="28"/>
        </w:rPr>
        <w:t xml:space="preserve">6 </w:t>
      </w:r>
      <w:r w:rsidRPr="001741DE">
        <w:rPr>
          <w:sz w:val="28"/>
          <w:szCs w:val="28"/>
        </w:rPr>
        <w:t>г</w:t>
      </w:r>
      <w:r>
        <w:rPr>
          <w:sz w:val="28"/>
          <w:szCs w:val="28"/>
        </w:rPr>
        <w:t xml:space="preserve">оду </w:t>
      </w:r>
      <w:r w:rsidRPr="001741DE">
        <w:rPr>
          <w:sz w:val="28"/>
          <w:szCs w:val="28"/>
        </w:rPr>
        <w:t xml:space="preserve">темпы роста инвестиций планируются на уровне </w:t>
      </w:r>
      <w:r>
        <w:rPr>
          <w:sz w:val="28"/>
          <w:szCs w:val="28"/>
        </w:rPr>
        <w:t xml:space="preserve">101,1 </w:t>
      </w:r>
      <w:r w:rsidRPr="001741DE">
        <w:rPr>
          <w:sz w:val="28"/>
          <w:szCs w:val="28"/>
        </w:rPr>
        <w:t>%, в 201</w:t>
      </w:r>
      <w:r>
        <w:rPr>
          <w:sz w:val="28"/>
          <w:szCs w:val="28"/>
        </w:rPr>
        <w:t xml:space="preserve">7 </w:t>
      </w:r>
      <w:r w:rsidRPr="001741DE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>74</w:t>
      </w:r>
      <w:r w:rsidRPr="001741DE">
        <w:rPr>
          <w:sz w:val="28"/>
          <w:szCs w:val="28"/>
        </w:rPr>
        <w:t>%, в 201</w:t>
      </w:r>
      <w:r>
        <w:rPr>
          <w:sz w:val="28"/>
          <w:szCs w:val="28"/>
        </w:rPr>
        <w:t>8</w:t>
      </w:r>
      <w:r w:rsidRPr="001741D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110,9</w:t>
      </w:r>
      <w:r w:rsidRPr="001741DE">
        <w:rPr>
          <w:sz w:val="28"/>
          <w:szCs w:val="28"/>
        </w:rPr>
        <w:t xml:space="preserve"> %, в  201</w:t>
      </w:r>
      <w:r>
        <w:rPr>
          <w:sz w:val="28"/>
          <w:szCs w:val="28"/>
        </w:rPr>
        <w:t>9</w:t>
      </w:r>
      <w:r w:rsidRPr="001741D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104,2</w:t>
      </w:r>
      <w:r w:rsidRPr="001741DE">
        <w:rPr>
          <w:sz w:val="28"/>
          <w:szCs w:val="28"/>
        </w:rPr>
        <w:t xml:space="preserve">%. </w:t>
      </w:r>
    </w:p>
    <w:p w:rsidR="008410E3" w:rsidRDefault="008410E3" w:rsidP="008410E3">
      <w:pPr>
        <w:jc w:val="both"/>
        <w:rPr>
          <w:sz w:val="28"/>
          <w:szCs w:val="28"/>
        </w:rPr>
      </w:pPr>
      <w:r w:rsidRPr="001741DE">
        <w:rPr>
          <w:sz w:val="28"/>
          <w:szCs w:val="28"/>
        </w:rPr>
        <w:t xml:space="preserve">            В денежном выражении объем инвестиций в основной капитал за счет всех источников финансирования в 201</w:t>
      </w:r>
      <w:r>
        <w:rPr>
          <w:sz w:val="28"/>
          <w:szCs w:val="28"/>
        </w:rPr>
        <w:t xml:space="preserve">6 </w:t>
      </w:r>
      <w:r w:rsidRPr="001741DE">
        <w:rPr>
          <w:sz w:val="28"/>
          <w:szCs w:val="28"/>
        </w:rPr>
        <w:t xml:space="preserve">году прогнозируется на уровне </w:t>
      </w:r>
      <w:r>
        <w:rPr>
          <w:sz w:val="28"/>
          <w:szCs w:val="28"/>
        </w:rPr>
        <w:t>2249,409</w:t>
      </w:r>
      <w:r w:rsidRPr="001741DE">
        <w:rPr>
          <w:sz w:val="28"/>
          <w:szCs w:val="28"/>
        </w:rPr>
        <w:t xml:space="preserve"> млн. руб., в 201</w:t>
      </w:r>
      <w:r>
        <w:rPr>
          <w:sz w:val="28"/>
          <w:szCs w:val="28"/>
        </w:rPr>
        <w:t xml:space="preserve">7 году </w:t>
      </w:r>
      <w:r w:rsidRPr="001741DE">
        <w:rPr>
          <w:sz w:val="28"/>
          <w:szCs w:val="28"/>
        </w:rPr>
        <w:t xml:space="preserve">– </w:t>
      </w:r>
      <w:r>
        <w:rPr>
          <w:sz w:val="28"/>
          <w:szCs w:val="28"/>
        </w:rPr>
        <w:t>1745,447</w:t>
      </w:r>
      <w:r w:rsidRPr="001741DE">
        <w:rPr>
          <w:sz w:val="28"/>
          <w:szCs w:val="28"/>
        </w:rPr>
        <w:t xml:space="preserve"> млн. руб., в 201</w:t>
      </w:r>
      <w:r>
        <w:rPr>
          <w:sz w:val="28"/>
          <w:szCs w:val="28"/>
        </w:rPr>
        <w:t xml:space="preserve">8  </w:t>
      </w:r>
      <w:r w:rsidRPr="001741DE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 xml:space="preserve">2023,008 </w:t>
      </w:r>
      <w:r w:rsidRPr="001741DE">
        <w:rPr>
          <w:sz w:val="28"/>
          <w:szCs w:val="28"/>
        </w:rPr>
        <w:t>млн. руб., в 201</w:t>
      </w:r>
      <w:r>
        <w:rPr>
          <w:sz w:val="28"/>
          <w:szCs w:val="28"/>
        </w:rPr>
        <w:t xml:space="preserve">9 </w:t>
      </w:r>
      <w:r w:rsidRPr="001741DE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2197,289</w:t>
      </w:r>
      <w:r w:rsidRPr="001741DE">
        <w:rPr>
          <w:sz w:val="28"/>
          <w:szCs w:val="28"/>
        </w:rPr>
        <w:t xml:space="preserve"> млн. рублей.</w:t>
      </w:r>
    </w:p>
    <w:p w:rsidR="008410E3" w:rsidRPr="001741DE" w:rsidRDefault="008410E3" w:rsidP="008410E3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0" cy="381952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10E3" w:rsidRDefault="008410E3" w:rsidP="008410E3">
      <w:pPr>
        <w:tabs>
          <w:tab w:val="center" w:pos="0"/>
        </w:tabs>
        <w:ind w:firstLine="720"/>
        <w:jc w:val="both"/>
        <w:rPr>
          <w:sz w:val="28"/>
          <w:szCs w:val="28"/>
        </w:rPr>
      </w:pPr>
    </w:p>
    <w:p w:rsidR="008410E3" w:rsidRDefault="008410E3" w:rsidP="008410E3">
      <w:pPr>
        <w:tabs>
          <w:tab w:val="center" w:pos="0"/>
        </w:tabs>
        <w:ind w:firstLine="720"/>
        <w:jc w:val="both"/>
        <w:rPr>
          <w:sz w:val="28"/>
          <w:szCs w:val="28"/>
        </w:rPr>
      </w:pPr>
      <w:r w:rsidRPr="009A44A9">
        <w:rPr>
          <w:sz w:val="28"/>
          <w:szCs w:val="28"/>
        </w:rPr>
        <w:t xml:space="preserve"> Одной из задач, стоящей в настоящий момент перед органами местного самоуправления муниципального образования «</w:t>
      </w:r>
      <w:r>
        <w:rPr>
          <w:sz w:val="28"/>
          <w:szCs w:val="28"/>
        </w:rPr>
        <w:t xml:space="preserve">Смоленский </w:t>
      </w:r>
      <w:r w:rsidRPr="009A44A9">
        <w:rPr>
          <w:sz w:val="28"/>
          <w:szCs w:val="28"/>
        </w:rPr>
        <w:t xml:space="preserve">район»  Смоленской </w:t>
      </w:r>
      <w:r w:rsidRPr="009A44A9">
        <w:rPr>
          <w:sz w:val="28"/>
          <w:szCs w:val="28"/>
        </w:rPr>
        <w:lastRenderedPageBreak/>
        <w:t>области, является создание необходимых и благоприятных условий для повышения экономического роста, улучшения качества жизни населения. Достижение поставленной задачи возможно путем привлечения инвестиций в реальный сектор экономики.</w:t>
      </w:r>
      <w:r w:rsidRPr="009A44A9">
        <w:t xml:space="preserve"> </w:t>
      </w:r>
      <w:r w:rsidRPr="009A44A9">
        <w:rPr>
          <w:sz w:val="28"/>
          <w:szCs w:val="28"/>
        </w:rPr>
        <w:t>Объем и темп роста инвестиций в основной капитал являются индикаторами инвестиционной привлекательности территории</w:t>
      </w:r>
      <w:r>
        <w:rPr>
          <w:sz w:val="28"/>
          <w:szCs w:val="28"/>
        </w:rPr>
        <w:t xml:space="preserve"> </w:t>
      </w:r>
      <w:r w:rsidRPr="009A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Смоленского </w:t>
      </w:r>
      <w:r w:rsidRPr="009A44A9">
        <w:rPr>
          <w:sz w:val="28"/>
          <w:szCs w:val="28"/>
        </w:rPr>
        <w:t xml:space="preserve"> района. </w:t>
      </w:r>
    </w:p>
    <w:p w:rsidR="008410E3" w:rsidRDefault="008410E3" w:rsidP="008410E3">
      <w:pPr>
        <w:tabs>
          <w:tab w:val="center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инвесторов согласно решению Смоленской районной Думы  предусмотрено понижение ставки арендной платы за пользование земельными участками в два раза на период проведения изыскательских работ.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территории района в 2016 году реализуются 15 инвестиционных проектов, объем освоенных инвестиций по проектам за 9 месяцев 2016 года  составил  106,5 млн. рублей.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Реализуемые инвестиционные проекты: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ООО «</w:t>
      </w:r>
      <w:proofErr w:type="spellStart"/>
      <w:r>
        <w:rPr>
          <w:sz w:val="28"/>
          <w:szCs w:val="28"/>
        </w:rPr>
        <w:t>АльфаТрансИнвест</w:t>
      </w:r>
      <w:proofErr w:type="spellEnd"/>
      <w:r>
        <w:rPr>
          <w:sz w:val="28"/>
          <w:szCs w:val="28"/>
        </w:rPr>
        <w:t xml:space="preserve">» - строительство транспортно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огистического</w:t>
      </w:r>
      <w:proofErr w:type="spellEnd"/>
      <w:r>
        <w:rPr>
          <w:sz w:val="28"/>
          <w:szCs w:val="28"/>
        </w:rPr>
        <w:t xml:space="preserve"> производственного комплекса «</w:t>
      </w:r>
      <w:proofErr w:type="spellStart"/>
      <w:r>
        <w:rPr>
          <w:sz w:val="28"/>
          <w:szCs w:val="28"/>
        </w:rPr>
        <w:t>Стабна</w:t>
      </w:r>
      <w:proofErr w:type="spellEnd"/>
      <w:r>
        <w:rPr>
          <w:sz w:val="28"/>
          <w:szCs w:val="28"/>
        </w:rPr>
        <w:t>» ;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ООО «</w:t>
      </w:r>
      <w:proofErr w:type="spellStart"/>
      <w:r>
        <w:rPr>
          <w:sz w:val="28"/>
          <w:szCs w:val="28"/>
        </w:rPr>
        <w:t>ЛидТекЭко</w:t>
      </w:r>
      <w:proofErr w:type="spellEnd"/>
      <w:r>
        <w:rPr>
          <w:sz w:val="28"/>
          <w:szCs w:val="28"/>
        </w:rPr>
        <w:t>» - строительство  мусоросортировочного завода;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ООО «</w:t>
      </w:r>
      <w:proofErr w:type="spellStart"/>
      <w:r>
        <w:rPr>
          <w:sz w:val="28"/>
          <w:szCs w:val="28"/>
        </w:rPr>
        <w:t>Вилантера</w:t>
      </w:r>
      <w:proofErr w:type="spellEnd"/>
      <w:r>
        <w:rPr>
          <w:sz w:val="28"/>
          <w:szCs w:val="28"/>
        </w:rPr>
        <w:t xml:space="preserve">» - строительство </w:t>
      </w:r>
      <w:proofErr w:type="spellStart"/>
      <w:r>
        <w:rPr>
          <w:sz w:val="28"/>
          <w:szCs w:val="28"/>
        </w:rPr>
        <w:t>транспортно-логистического</w:t>
      </w:r>
      <w:proofErr w:type="spellEnd"/>
      <w:r>
        <w:rPr>
          <w:sz w:val="28"/>
          <w:szCs w:val="28"/>
        </w:rPr>
        <w:t xml:space="preserve"> комплекса;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ЗАО «АВГУР» - строительство производственной базы  по производству                комплекса деталей для нужд ОАО «РЖД»;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ИП Романишин – строительства цеха по переработке,  охлаждению и  хранению мясных полуфабрикатов;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ООО «</w:t>
      </w:r>
      <w:proofErr w:type="spellStart"/>
      <w:r>
        <w:rPr>
          <w:sz w:val="28"/>
          <w:szCs w:val="28"/>
        </w:rPr>
        <w:t>Козинский</w:t>
      </w:r>
      <w:proofErr w:type="spellEnd"/>
      <w:r>
        <w:rPr>
          <w:sz w:val="28"/>
          <w:szCs w:val="28"/>
        </w:rPr>
        <w:t xml:space="preserve"> тепличный комбинат»   - строительство модульного комплекса для хранения и переработки картофеля и овощей;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ООО «Птицефабрика «Сметанино» - модернизация  птицеводства;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ООО «</w:t>
      </w:r>
      <w:proofErr w:type="spellStart"/>
      <w:r>
        <w:rPr>
          <w:sz w:val="28"/>
          <w:szCs w:val="28"/>
        </w:rPr>
        <w:t>Каспля</w:t>
      </w:r>
      <w:proofErr w:type="spellEnd"/>
      <w:r>
        <w:rPr>
          <w:sz w:val="28"/>
          <w:szCs w:val="28"/>
        </w:rPr>
        <w:t xml:space="preserve">» - расширение действующего молочного производства; 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ООО «Борге» - строительства завода по производству систем безопасности кровли;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ЗАО «Висом» - строительство конструкторского бюро;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ООО «Регион» - строительство комплекса по изготовлению железобетонных изделий с </w:t>
      </w:r>
      <w:proofErr w:type="spellStart"/>
      <w:r>
        <w:rPr>
          <w:sz w:val="28"/>
          <w:szCs w:val="28"/>
        </w:rPr>
        <w:t>бетонорастворосмесительным</w:t>
      </w:r>
      <w:proofErr w:type="spellEnd"/>
      <w:r>
        <w:rPr>
          <w:sz w:val="28"/>
          <w:szCs w:val="28"/>
        </w:rPr>
        <w:t xml:space="preserve"> заводом. 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ИП Добрынина О.Ф. -  объект дорожного сервиса в районе мотеля «Феникс».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Филиалом ПАО «МРСК </w:t>
      </w:r>
      <w:proofErr w:type="spellStart"/>
      <w:r>
        <w:rPr>
          <w:sz w:val="28"/>
          <w:szCs w:val="28"/>
        </w:rPr>
        <w:t>Центра-Смоленскэнерго</w:t>
      </w:r>
      <w:proofErr w:type="spellEnd"/>
      <w:r>
        <w:rPr>
          <w:sz w:val="28"/>
          <w:szCs w:val="28"/>
        </w:rPr>
        <w:t xml:space="preserve">» на территории Смоленского района  планируется выполнение следующих работ: </w:t>
      </w:r>
    </w:p>
    <w:p w:rsidR="008410E3" w:rsidRPr="001B6844" w:rsidRDefault="008410E3" w:rsidP="008410E3">
      <w:pPr>
        <w:spacing w:after="120" w:line="240" w:lineRule="atLeast"/>
        <w:jc w:val="both"/>
        <w:rPr>
          <w:sz w:val="28"/>
          <w:szCs w:val="28"/>
          <w:u w:val="single"/>
        </w:rPr>
      </w:pPr>
      <w:r w:rsidRPr="001B6844">
        <w:rPr>
          <w:sz w:val="28"/>
          <w:szCs w:val="28"/>
          <w:u w:val="single"/>
        </w:rPr>
        <w:t>2016 год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ПС 110/10/10 кВ  «КС-3 № 2» с заменой трансформатора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ТП-10 кВ КТП-359 </w:t>
      </w:r>
      <w:proofErr w:type="spellStart"/>
      <w:r>
        <w:rPr>
          <w:sz w:val="28"/>
          <w:szCs w:val="28"/>
        </w:rPr>
        <w:t>Пискариха</w:t>
      </w:r>
      <w:proofErr w:type="spellEnd"/>
      <w:proofErr w:type="gramStart"/>
      <w:r>
        <w:rPr>
          <w:sz w:val="28"/>
          <w:szCs w:val="28"/>
        </w:rPr>
        <w:t xml:space="preserve"> ;</w:t>
      </w:r>
      <w:proofErr w:type="gramEnd"/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-10кВ установка </w:t>
      </w:r>
      <w:proofErr w:type="spellStart"/>
      <w:r>
        <w:rPr>
          <w:sz w:val="28"/>
          <w:szCs w:val="28"/>
        </w:rPr>
        <w:t>реклоузеров</w:t>
      </w:r>
      <w:proofErr w:type="spellEnd"/>
      <w:r>
        <w:rPr>
          <w:sz w:val="28"/>
          <w:szCs w:val="28"/>
        </w:rPr>
        <w:t xml:space="preserve"> ВЛ-609 ПС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>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ТП-10кВ ЗТП-1135 Котельная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1005 ПС </w:t>
      </w:r>
      <w:proofErr w:type="spellStart"/>
      <w:r>
        <w:rPr>
          <w:sz w:val="28"/>
          <w:szCs w:val="28"/>
        </w:rPr>
        <w:t>Аполье</w:t>
      </w:r>
      <w:proofErr w:type="spellEnd"/>
      <w:r>
        <w:rPr>
          <w:sz w:val="28"/>
          <w:szCs w:val="28"/>
        </w:rPr>
        <w:t>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ТП-10кВ ЗТП-812 Котельная-1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1005 ПС </w:t>
      </w:r>
      <w:proofErr w:type="spellStart"/>
      <w:r>
        <w:rPr>
          <w:sz w:val="28"/>
          <w:szCs w:val="28"/>
        </w:rPr>
        <w:t>Аполье</w:t>
      </w:r>
      <w:proofErr w:type="spellEnd"/>
      <w:r>
        <w:rPr>
          <w:sz w:val="28"/>
          <w:szCs w:val="28"/>
        </w:rPr>
        <w:t>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ТП-10кВ ЗТП-813 Котельная-2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1005 ПС </w:t>
      </w:r>
      <w:proofErr w:type="spellStart"/>
      <w:r>
        <w:rPr>
          <w:sz w:val="28"/>
          <w:szCs w:val="28"/>
        </w:rPr>
        <w:t>Аполье</w:t>
      </w:r>
      <w:proofErr w:type="spellEnd"/>
      <w:r>
        <w:rPr>
          <w:sz w:val="28"/>
          <w:szCs w:val="28"/>
        </w:rPr>
        <w:t>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ТП-10кВ КТП-419 Талашкино;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реконструкция ВЛ-0,4кВ №1 ТП-252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1008 ПС Катынь-1;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ВЛ-0,4кВ №1, №2, № 3 ТП-108 ВЛ-604 ПС Гнездово;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ВЛ-0,4кВ №1, №2 ТП-124 ВЛ-607 ПС Гнездово;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ВЛ-0,4кВ  №1,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0,4кВ №5 от ТП 559 Вл-1001 Жуковская;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ВЛ-0,4кВ №2, №3 ТП 9 ВЛ-1002 ПС Козино;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ВЛ-0,4кВ №1 ТП-1064 ВЛ-1006 ПС </w:t>
      </w:r>
      <w:proofErr w:type="spellStart"/>
      <w:r>
        <w:rPr>
          <w:sz w:val="28"/>
          <w:szCs w:val="28"/>
        </w:rPr>
        <w:t>Каспля</w:t>
      </w:r>
      <w:proofErr w:type="spellEnd"/>
      <w:r>
        <w:rPr>
          <w:sz w:val="28"/>
          <w:szCs w:val="28"/>
        </w:rPr>
        <w:t>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ВЛ-0,4кВ №1, №2 ТП-1008 ВЛ-1001 ПС </w:t>
      </w:r>
      <w:proofErr w:type="spellStart"/>
      <w:r>
        <w:rPr>
          <w:sz w:val="28"/>
          <w:szCs w:val="28"/>
        </w:rPr>
        <w:t>Каспля</w:t>
      </w:r>
      <w:proofErr w:type="spellEnd"/>
      <w:r>
        <w:rPr>
          <w:sz w:val="28"/>
          <w:szCs w:val="28"/>
        </w:rPr>
        <w:t>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ВЛ-0,4кВ №1 ТП-1033 ВЛ-1008 ПС </w:t>
      </w:r>
      <w:proofErr w:type="spellStart"/>
      <w:r>
        <w:rPr>
          <w:sz w:val="28"/>
          <w:szCs w:val="28"/>
        </w:rPr>
        <w:t>Каспля</w:t>
      </w:r>
      <w:proofErr w:type="spellEnd"/>
      <w:r>
        <w:rPr>
          <w:sz w:val="28"/>
          <w:szCs w:val="28"/>
        </w:rPr>
        <w:t>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ВЛ-0,4 №1 ТП-1099 ВЛ-1006 ПС </w:t>
      </w:r>
      <w:proofErr w:type="spellStart"/>
      <w:r>
        <w:rPr>
          <w:sz w:val="28"/>
          <w:szCs w:val="28"/>
        </w:rPr>
        <w:t>Каспля</w:t>
      </w:r>
      <w:proofErr w:type="spellEnd"/>
      <w:r>
        <w:rPr>
          <w:sz w:val="28"/>
          <w:szCs w:val="28"/>
        </w:rPr>
        <w:t>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ВЛ-0,4кВ  №1,2,3 ТП-1290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1004 ПС Ольша;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ВЛ-0,4кВ №1 КТП-1306 Сипачи-2 ВЛ-1004 Ольша;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ВЛ-0,4кВ №1 ТП-240 Вл-1012 ПС Катынь-2;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ВЛ-0,4кВ №1, №2 ТП-271 ВЛ-1001 ПС Катынь-2;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ВЛ-0,4кВ №1, №2 ТП-242 ВЛ-1001 ПС Катынь-2;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ВЛ-0,4кВ №1, №2, №3  ТП-241 ВЛ-1012 ПС Катынь-2;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ВЛ-0,4кВ №1, 3 ТП-339 ВЛ-609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>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ВЛ-0,4кВ №3 ТП-249 ВЛ-1010 ПС Катынь-1;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ТП-6кВ №159 ВЛ-604 ПС Гнездово;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ТП-6кВ  №108 ВЛ-604 ПС Гнездово;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ТП-19кВ №90 ВЛ-1002 ПС Козино;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ВЛ-0,4кВ Ф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ТП-102;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ТП10кВ №559 ВЛ-1001 ПС Жуковская;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-строительство отпаек от ВЛ-35кВ ПС </w:t>
      </w:r>
      <w:proofErr w:type="spellStart"/>
      <w:r>
        <w:rPr>
          <w:sz w:val="28"/>
          <w:szCs w:val="28"/>
        </w:rPr>
        <w:t>Северная-ПС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 для подключения ПС-35кВ Печерск-2;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ПС 35кВ Печерск-2 с </w:t>
      </w:r>
      <w:proofErr w:type="spellStart"/>
      <w:r>
        <w:rPr>
          <w:sz w:val="28"/>
          <w:szCs w:val="28"/>
        </w:rPr>
        <w:t>трамсформаторами</w:t>
      </w:r>
      <w:proofErr w:type="spellEnd"/>
      <w:r>
        <w:rPr>
          <w:sz w:val="28"/>
          <w:szCs w:val="28"/>
        </w:rPr>
        <w:t>;</w:t>
      </w:r>
    </w:p>
    <w:p w:rsidR="008410E3" w:rsidRPr="002F352C" w:rsidRDefault="008410E3" w:rsidP="008410E3">
      <w:pPr>
        <w:spacing w:after="120" w:line="240" w:lineRule="atLeast"/>
        <w:jc w:val="both"/>
        <w:rPr>
          <w:sz w:val="28"/>
          <w:szCs w:val="28"/>
          <w:u w:val="single"/>
        </w:rPr>
      </w:pPr>
      <w:r w:rsidRPr="002F352C">
        <w:rPr>
          <w:sz w:val="28"/>
          <w:szCs w:val="28"/>
          <w:u w:val="single"/>
        </w:rPr>
        <w:t>2017 год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ТП-6кВ №159 ВЛ-604 ПС Гнездово;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ТП-6кВ  №108 ВЛ-604 ПС Гнездово;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ВЛ-0,4кВ  №1,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0,4кВ №5 от ТП 559 Вл-1001 Жуковская;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ВЛ-0,4кВ №2, №3 ТП 9 ВЛ-1002 ПС Козино;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ВЛ-0,4кВ №1 ТП-1064 ВЛ-1006 ПС </w:t>
      </w:r>
      <w:proofErr w:type="spellStart"/>
      <w:r>
        <w:rPr>
          <w:sz w:val="28"/>
          <w:szCs w:val="28"/>
        </w:rPr>
        <w:t>Каспля</w:t>
      </w:r>
      <w:proofErr w:type="spellEnd"/>
      <w:r>
        <w:rPr>
          <w:sz w:val="28"/>
          <w:szCs w:val="28"/>
        </w:rPr>
        <w:t>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ВЛ-0,4кВ №1, №2 ТП-1008 ВЛ-1001 ПС </w:t>
      </w:r>
      <w:proofErr w:type="spellStart"/>
      <w:r>
        <w:rPr>
          <w:sz w:val="28"/>
          <w:szCs w:val="28"/>
        </w:rPr>
        <w:t>Каспля</w:t>
      </w:r>
      <w:proofErr w:type="spellEnd"/>
      <w:r>
        <w:rPr>
          <w:sz w:val="28"/>
          <w:szCs w:val="28"/>
        </w:rPr>
        <w:t>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ВЛ-0,4кВ №1 ТП-1033 ВЛ-1008 ПС </w:t>
      </w:r>
      <w:proofErr w:type="spellStart"/>
      <w:r>
        <w:rPr>
          <w:sz w:val="28"/>
          <w:szCs w:val="28"/>
        </w:rPr>
        <w:t>Каспля</w:t>
      </w:r>
      <w:proofErr w:type="spellEnd"/>
      <w:r>
        <w:rPr>
          <w:sz w:val="28"/>
          <w:szCs w:val="28"/>
        </w:rPr>
        <w:t>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реконструкция ВЛ-0,4 №1 ТП-1099 ВЛ-1006 ПС </w:t>
      </w:r>
      <w:proofErr w:type="spellStart"/>
      <w:r>
        <w:rPr>
          <w:sz w:val="28"/>
          <w:szCs w:val="28"/>
        </w:rPr>
        <w:t>Каспля</w:t>
      </w:r>
      <w:proofErr w:type="spellEnd"/>
      <w:r>
        <w:rPr>
          <w:sz w:val="28"/>
          <w:szCs w:val="28"/>
        </w:rPr>
        <w:t>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ВЛ-0,4кВ  №1,2,3 ТП-1290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1004 ПС Ольша;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ВЛ-0,4кВ №1 КТП-1306 Сипачи-2 ВЛ-1004 Ольша;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ВЛ-0,4кВ №1 ТП-240 Вл-1012 ПС Катынь-2;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ВЛ-0,4кВ №1, №2 ТП-271 ВЛ-1001 ПС Катынь-2;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ВЛ-0,4кВ №1, №2 ТП-242 ВЛ-1001 ПС Катынь-2;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ВЛ-0,4кВ №1, №2, №3  ТП-241 ВЛ-1012 ПС Катынь-2;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ВЛ-0,4кВ №1, 3 ТП-339 ВЛ-609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>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ВЛ-0,4кВ №3 ТП-249 ВЛ-1010 ПС Катынь-1;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ТП-6кВ №159 ВЛ-604 ПС Гнездово;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ТП-6кВ  №108 ВЛ-604 ПС Гнездово;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ТП-19кВ №90 ВЛ-1002 ПС Козино;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ВЛ-0,4кВ Ф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ТП-102;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ТП10кВ №559 ВЛ-1001 ПС Жуковская;</w:t>
      </w:r>
    </w:p>
    <w:p w:rsidR="008410E3" w:rsidRPr="002F352C" w:rsidRDefault="008410E3" w:rsidP="008410E3">
      <w:pPr>
        <w:spacing w:after="120" w:line="240" w:lineRule="atLeast"/>
        <w:jc w:val="both"/>
        <w:rPr>
          <w:sz w:val="28"/>
          <w:szCs w:val="28"/>
          <w:u w:val="single"/>
        </w:rPr>
      </w:pPr>
      <w:r w:rsidRPr="002F352C">
        <w:rPr>
          <w:sz w:val="28"/>
          <w:szCs w:val="28"/>
          <w:u w:val="single"/>
        </w:rPr>
        <w:t>2018 год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-строительство отпаек от ВЛ-35кВ ПС </w:t>
      </w:r>
      <w:proofErr w:type="spellStart"/>
      <w:r>
        <w:rPr>
          <w:sz w:val="28"/>
          <w:szCs w:val="28"/>
        </w:rPr>
        <w:t>Северная-ПС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 для подключения ПС-35кВ Печерск-2;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ПС 35кВ Печерск-2 с </w:t>
      </w:r>
      <w:proofErr w:type="spellStart"/>
      <w:r>
        <w:rPr>
          <w:sz w:val="28"/>
          <w:szCs w:val="28"/>
        </w:rPr>
        <w:t>трамсформаторами</w:t>
      </w:r>
      <w:proofErr w:type="spellEnd"/>
      <w:r>
        <w:rPr>
          <w:sz w:val="28"/>
          <w:szCs w:val="28"/>
        </w:rPr>
        <w:t>;</w:t>
      </w:r>
    </w:p>
    <w:p w:rsidR="008410E3" w:rsidRPr="002F352C" w:rsidRDefault="008410E3" w:rsidP="008410E3">
      <w:pPr>
        <w:spacing w:after="120" w:line="240" w:lineRule="atLeast"/>
        <w:jc w:val="both"/>
        <w:rPr>
          <w:sz w:val="28"/>
          <w:szCs w:val="28"/>
          <w:u w:val="single"/>
        </w:rPr>
      </w:pPr>
      <w:r w:rsidRPr="002F352C">
        <w:rPr>
          <w:sz w:val="28"/>
          <w:szCs w:val="28"/>
          <w:u w:val="single"/>
        </w:rPr>
        <w:t>2019 год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ВЛ-10 кВ  №609 ПС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>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-строительство отпаек от ВЛ-35кВ ПС </w:t>
      </w:r>
      <w:proofErr w:type="spellStart"/>
      <w:r>
        <w:rPr>
          <w:sz w:val="28"/>
          <w:szCs w:val="28"/>
        </w:rPr>
        <w:t>Северная-ПС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 для подключения ПС-35кВ Печерск-2;</w:t>
      </w:r>
    </w:p>
    <w:p w:rsidR="008410E3" w:rsidRDefault="008410E3" w:rsidP="008410E3">
      <w:p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ПС 35кВ Печерск-2 с </w:t>
      </w:r>
      <w:proofErr w:type="spellStart"/>
      <w:r>
        <w:rPr>
          <w:sz w:val="28"/>
          <w:szCs w:val="28"/>
        </w:rPr>
        <w:t>трамсформаторами</w:t>
      </w:r>
      <w:proofErr w:type="spellEnd"/>
      <w:r>
        <w:rPr>
          <w:sz w:val="28"/>
          <w:szCs w:val="28"/>
        </w:rPr>
        <w:t>.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с. </w:t>
      </w:r>
      <w:proofErr w:type="spellStart"/>
      <w:r>
        <w:rPr>
          <w:sz w:val="28"/>
          <w:szCs w:val="28"/>
        </w:rPr>
        <w:t>Катынь</w:t>
      </w:r>
      <w:proofErr w:type="spellEnd"/>
      <w:r>
        <w:rPr>
          <w:sz w:val="28"/>
          <w:szCs w:val="28"/>
        </w:rPr>
        <w:t xml:space="preserve">  продолжается строительство железобетонного путепровода через железную дорогу, также выполняются дорожные работы, обустройство магистрали, малых искусственных и очистных сооружений, переустройство линий связи и электропередачи, газопровода высокого давления, водопровода, канализации. 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рамках государственно-частного партнерства ведется строительство блочно-модельной газовой котельной в д. </w:t>
      </w:r>
      <w:proofErr w:type="spellStart"/>
      <w:r>
        <w:rPr>
          <w:sz w:val="28"/>
          <w:szCs w:val="28"/>
        </w:rPr>
        <w:t>Кощино</w:t>
      </w:r>
      <w:proofErr w:type="spellEnd"/>
      <w:r>
        <w:rPr>
          <w:sz w:val="28"/>
          <w:szCs w:val="28"/>
        </w:rPr>
        <w:t>.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Осуществлен выбор участка и изготовлена проектно-сметная документация по строительству очистных сооружений в д. Сметанино.  </w:t>
      </w:r>
    </w:p>
    <w:p w:rsidR="008410E3" w:rsidRDefault="008410E3" w:rsidP="008410E3">
      <w:pPr>
        <w:jc w:val="both"/>
        <w:rPr>
          <w:sz w:val="28"/>
          <w:szCs w:val="28"/>
        </w:rPr>
      </w:pPr>
      <w:r w:rsidRPr="00490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490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Помимо новых инвесторов, реализующих крупные инвестиционные проекты, стабильно работающие предприятия района также направляют основные средства на модернизацию производства и прио</w:t>
      </w:r>
      <w:r w:rsidRPr="0049041A">
        <w:rPr>
          <w:sz w:val="28"/>
          <w:szCs w:val="28"/>
        </w:rPr>
        <w:t>брет</w:t>
      </w:r>
      <w:r>
        <w:rPr>
          <w:sz w:val="28"/>
          <w:szCs w:val="28"/>
        </w:rPr>
        <w:t>ение</w:t>
      </w:r>
      <w:r w:rsidRPr="0049041A">
        <w:rPr>
          <w:sz w:val="28"/>
          <w:szCs w:val="28"/>
        </w:rPr>
        <w:t xml:space="preserve"> нов</w:t>
      </w:r>
      <w:r>
        <w:rPr>
          <w:sz w:val="28"/>
          <w:szCs w:val="28"/>
        </w:rPr>
        <w:t>ой</w:t>
      </w:r>
      <w:r w:rsidRPr="0049041A">
        <w:rPr>
          <w:sz w:val="28"/>
          <w:szCs w:val="28"/>
        </w:rPr>
        <w:t xml:space="preserve"> высокотехнологичн</w:t>
      </w:r>
      <w:r>
        <w:rPr>
          <w:sz w:val="28"/>
          <w:szCs w:val="28"/>
        </w:rPr>
        <w:t>ой</w:t>
      </w:r>
      <w:r w:rsidRPr="0049041A">
        <w:rPr>
          <w:sz w:val="28"/>
          <w:szCs w:val="28"/>
        </w:rPr>
        <w:t xml:space="preserve"> </w:t>
      </w:r>
      <w:proofErr w:type="spellStart"/>
      <w:r w:rsidRPr="0049041A">
        <w:rPr>
          <w:sz w:val="28"/>
          <w:szCs w:val="28"/>
        </w:rPr>
        <w:t>ресурсоэнергосберегающ</w:t>
      </w:r>
      <w:r>
        <w:rPr>
          <w:sz w:val="28"/>
          <w:szCs w:val="28"/>
        </w:rPr>
        <w:t>ей</w:t>
      </w:r>
      <w:proofErr w:type="spellEnd"/>
      <w:r w:rsidRPr="0049041A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и</w:t>
      </w:r>
      <w:r w:rsidRPr="0049041A">
        <w:rPr>
          <w:sz w:val="28"/>
          <w:szCs w:val="28"/>
        </w:rPr>
        <w:t>, оборудовани</w:t>
      </w:r>
      <w:r>
        <w:rPr>
          <w:sz w:val="28"/>
          <w:szCs w:val="28"/>
        </w:rPr>
        <w:t>я  и транспортных</w:t>
      </w:r>
      <w:r w:rsidRPr="0049041A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.</w:t>
      </w:r>
      <w:r w:rsidRPr="0049041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1741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</w:p>
    <w:p w:rsidR="008410E3" w:rsidRDefault="008410E3" w:rsidP="008410E3">
      <w:pPr>
        <w:jc w:val="both"/>
        <w:rPr>
          <w:sz w:val="28"/>
          <w:szCs w:val="28"/>
        </w:rPr>
      </w:pP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2015 году завершена  реализация  следующих инвестиционных проектов: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ЗАО «</w:t>
      </w:r>
      <w:proofErr w:type="spellStart"/>
      <w:r>
        <w:rPr>
          <w:sz w:val="28"/>
          <w:szCs w:val="28"/>
        </w:rPr>
        <w:t>Тандер</w:t>
      </w:r>
      <w:proofErr w:type="spellEnd"/>
      <w:r>
        <w:rPr>
          <w:sz w:val="28"/>
          <w:szCs w:val="28"/>
        </w:rPr>
        <w:t xml:space="preserve">» -  распределительный  центр, </w:t>
      </w:r>
      <w:r w:rsidRPr="001741DE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освоенных </w:t>
      </w:r>
      <w:r w:rsidRPr="001741DE">
        <w:rPr>
          <w:sz w:val="28"/>
          <w:szCs w:val="28"/>
        </w:rPr>
        <w:t xml:space="preserve">инвестиций по указанному проекту </w:t>
      </w:r>
      <w:r>
        <w:rPr>
          <w:sz w:val="28"/>
          <w:szCs w:val="28"/>
        </w:rPr>
        <w:t>1950 млн. рублей;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ООО «</w:t>
      </w:r>
      <w:proofErr w:type="spellStart"/>
      <w:r>
        <w:rPr>
          <w:sz w:val="28"/>
          <w:szCs w:val="28"/>
        </w:rPr>
        <w:t>Аквавита</w:t>
      </w:r>
      <w:proofErr w:type="spellEnd"/>
      <w:r>
        <w:rPr>
          <w:sz w:val="28"/>
          <w:szCs w:val="28"/>
        </w:rPr>
        <w:t>» - завод по изготовлению мебели для ванных комнат, введена 1 очередь строительства, объем освоенных инвестиций по указанному проекту составил  81 млн. рублей;</w:t>
      </w:r>
    </w:p>
    <w:p w:rsidR="008410E3" w:rsidRPr="001741DE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ИП </w:t>
      </w:r>
      <w:proofErr w:type="spellStart"/>
      <w:r>
        <w:rPr>
          <w:sz w:val="28"/>
          <w:szCs w:val="28"/>
        </w:rPr>
        <w:t>Дупенкова</w:t>
      </w:r>
      <w:proofErr w:type="spellEnd"/>
      <w:r>
        <w:rPr>
          <w:sz w:val="28"/>
          <w:szCs w:val="28"/>
        </w:rPr>
        <w:t xml:space="preserve"> Е.В. –автосалон д. </w:t>
      </w:r>
      <w:proofErr w:type="spellStart"/>
      <w:r>
        <w:rPr>
          <w:sz w:val="28"/>
          <w:szCs w:val="28"/>
        </w:rPr>
        <w:t>Михновка</w:t>
      </w:r>
      <w:proofErr w:type="spellEnd"/>
      <w:r>
        <w:rPr>
          <w:sz w:val="28"/>
          <w:szCs w:val="28"/>
        </w:rPr>
        <w:t>, объем освоенных инвестиций по указанному проекту составил  43,9  млн. рублей</w:t>
      </w:r>
    </w:p>
    <w:p w:rsidR="008410E3" w:rsidRDefault="008410E3" w:rsidP="008410E3">
      <w:pPr>
        <w:jc w:val="both"/>
        <w:rPr>
          <w:sz w:val="28"/>
          <w:szCs w:val="28"/>
        </w:rPr>
      </w:pPr>
      <w:r w:rsidRPr="001741D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</w:p>
    <w:p w:rsidR="008410E3" w:rsidRDefault="008410E3" w:rsidP="008410E3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Администрацией муниципального образования «Смоленский район» Смоленской области в целях развития района проводятся работа по газификации населенных пунктов.</w:t>
      </w:r>
      <w:r w:rsidRPr="00816B4A">
        <w:rPr>
          <w:sz w:val="32"/>
          <w:szCs w:val="32"/>
        </w:rPr>
        <w:t xml:space="preserve"> </w:t>
      </w:r>
    </w:p>
    <w:p w:rsidR="008410E3" w:rsidRPr="00816B4A" w:rsidRDefault="008410E3" w:rsidP="008410E3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</w:t>
      </w:r>
      <w:r w:rsidRPr="00816B4A">
        <w:rPr>
          <w:sz w:val="28"/>
          <w:szCs w:val="28"/>
        </w:rPr>
        <w:t>В 2016 году проводятся работы по газификации 7 населенных пунктов, стоимостью 18,3 млн. рублей, протяженность сетей 18,3 км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елезневщина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Сушковщина</w:t>
      </w:r>
      <w:proofErr w:type="spellEnd"/>
      <w:r>
        <w:rPr>
          <w:sz w:val="28"/>
          <w:szCs w:val="28"/>
        </w:rPr>
        <w:t xml:space="preserve"> Пионерского сельского поселения, </w:t>
      </w:r>
      <w:proofErr w:type="spellStart"/>
      <w:r>
        <w:rPr>
          <w:sz w:val="28"/>
          <w:szCs w:val="28"/>
        </w:rPr>
        <w:t>д.Зубовщина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Лубня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Хохловского</w:t>
      </w:r>
      <w:proofErr w:type="spellEnd"/>
      <w:r>
        <w:rPr>
          <w:sz w:val="28"/>
          <w:szCs w:val="28"/>
        </w:rPr>
        <w:t xml:space="preserve"> сельского поселения, д.Жуково </w:t>
      </w:r>
      <w:proofErr w:type="spellStart"/>
      <w:r>
        <w:rPr>
          <w:sz w:val="28"/>
          <w:szCs w:val="28"/>
        </w:rPr>
        <w:t>Стабенского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д.Шабаново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Пригорского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д.Вязгино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Вязгинского</w:t>
      </w:r>
      <w:proofErr w:type="spellEnd"/>
      <w:r>
        <w:rPr>
          <w:sz w:val="28"/>
          <w:szCs w:val="28"/>
        </w:rPr>
        <w:t xml:space="preserve"> сельского поселения)</w:t>
      </w:r>
      <w:r w:rsidRPr="00816B4A">
        <w:rPr>
          <w:sz w:val="28"/>
          <w:szCs w:val="28"/>
        </w:rPr>
        <w:t>.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На перспективу изготовлена проектно-сметная документация по газификации жилых домов в 7 населенных пунктах (</w:t>
      </w:r>
      <w:proofErr w:type="spellStart"/>
      <w:r>
        <w:rPr>
          <w:sz w:val="28"/>
          <w:szCs w:val="28"/>
        </w:rPr>
        <w:t>Слизнево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Кощино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Катынь-Покровская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Гринево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Копанка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Фефелово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Онохово</w:t>
      </w:r>
      <w:proofErr w:type="spellEnd"/>
      <w:r>
        <w:rPr>
          <w:sz w:val="28"/>
          <w:szCs w:val="28"/>
        </w:rPr>
        <w:t xml:space="preserve">), а также проектно-сметная документация по реконструкции водозаборных сооружений и сетей водопровода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ощино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Деменщина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Липуны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Магалинщина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Нагать</w:t>
      </w:r>
      <w:proofErr w:type="spellEnd"/>
      <w:r>
        <w:rPr>
          <w:sz w:val="28"/>
          <w:szCs w:val="28"/>
        </w:rPr>
        <w:t xml:space="preserve">.  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410E3" w:rsidRDefault="008410E3" w:rsidP="008410E3">
      <w:pPr>
        <w:tabs>
          <w:tab w:val="left" w:pos="2520"/>
        </w:tabs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>ТРУД И ЗАНЯТОСТЬ НАСЕЛЕНИЯ</w:t>
      </w:r>
    </w:p>
    <w:p w:rsidR="008410E3" w:rsidRDefault="008410E3" w:rsidP="008410E3">
      <w:pPr>
        <w:tabs>
          <w:tab w:val="left" w:pos="252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 оценке в 2016 году среднесписочная численность работников организаций (без внешних совместителей) Смоленского района составит 6,6 тыс. человек.</w:t>
      </w:r>
    </w:p>
    <w:p w:rsidR="008410E3" w:rsidRDefault="008410E3" w:rsidP="008410E3">
      <w:pPr>
        <w:tabs>
          <w:tab w:val="left" w:pos="252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2017-2019 годах среднесписочная численность работников организаций будет расти и к 2019 году составит 6,8 тыс. человек.</w:t>
      </w:r>
    </w:p>
    <w:p w:rsidR="008410E3" w:rsidRDefault="008410E3" w:rsidP="008410E3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5558F">
        <w:rPr>
          <w:sz w:val="28"/>
          <w:szCs w:val="28"/>
        </w:rPr>
        <w:t>Хотя и незначительный,  но рост потребности предприятий и организаций в рабочей силе будет способствовать снижению уровня безработицы. Численность безработных</w:t>
      </w:r>
      <w:r>
        <w:rPr>
          <w:sz w:val="28"/>
          <w:szCs w:val="28"/>
        </w:rPr>
        <w:t>, зарегистрированных в государственных учреждениях службы занятости населения (на конец года)</w:t>
      </w:r>
      <w:r w:rsidRPr="0025558F">
        <w:rPr>
          <w:sz w:val="28"/>
          <w:szCs w:val="28"/>
        </w:rPr>
        <w:t xml:space="preserve"> снизится с </w:t>
      </w:r>
      <w:r>
        <w:rPr>
          <w:sz w:val="28"/>
          <w:szCs w:val="28"/>
        </w:rPr>
        <w:t>383  человек в 2016 году до 377</w:t>
      </w:r>
      <w:r w:rsidRPr="0025558F">
        <w:rPr>
          <w:sz w:val="28"/>
          <w:szCs w:val="28"/>
        </w:rPr>
        <w:t xml:space="preserve"> человек в 201</w:t>
      </w:r>
      <w:r>
        <w:rPr>
          <w:sz w:val="28"/>
          <w:szCs w:val="28"/>
        </w:rPr>
        <w:t>7</w:t>
      </w:r>
      <w:r w:rsidRPr="0025558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далее до 360  человек в 2019 году</w:t>
      </w:r>
      <w:r w:rsidRPr="0025558F">
        <w:rPr>
          <w:sz w:val="28"/>
          <w:szCs w:val="28"/>
        </w:rPr>
        <w:t xml:space="preserve">. </w:t>
      </w:r>
    </w:p>
    <w:p w:rsidR="008410E3" w:rsidRDefault="008410E3" w:rsidP="008410E3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Уровень регистрируемой безработицы в среднем по Смоленскому району в 2015 году составил 1,49 процента от общей численности экономически активного населения,</w:t>
      </w:r>
      <w:r w:rsidRPr="00893A2D">
        <w:rPr>
          <w:color w:val="000000"/>
          <w:sz w:val="28"/>
          <w:szCs w:val="28"/>
        </w:rPr>
        <w:t xml:space="preserve"> </w:t>
      </w:r>
      <w:r w:rsidRPr="00586510">
        <w:rPr>
          <w:color w:val="000000"/>
          <w:sz w:val="28"/>
          <w:szCs w:val="28"/>
        </w:rPr>
        <w:t>что ниже данного показателя по Смоленской области</w:t>
      </w:r>
      <w:r>
        <w:rPr>
          <w:sz w:val="28"/>
          <w:szCs w:val="28"/>
        </w:rPr>
        <w:t>, в прогнозном периоде уровень безработицы составит  2017 год – 1,53 процент, 2018 год – 1,50 процента и 2019 год – 1,47 процента экономически активного населения.</w:t>
      </w:r>
    </w:p>
    <w:p w:rsidR="008410E3" w:rsidRDefault="008410E3" w:rsidP="008410E3">
      <w:pPr>
        <w:tabs>
          <w:tab w:val="left" w:pos="252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Дальнейший рост экономики Смоленского района потребует привлечения трудовых ресурсов, в том числе квалифицированной рабочей силы.</w:t>
      </w:r>
    </w:p>
    <w:p w:rsidR="008410E3" w:rsidRDefault="008410E3" w:rsidP="008410E3">
      <w:pPr>
        <w:tabs>
          <w:tab w:val="left" w:pos="2520"/>
        </w:tabs>
        <w:ind w:firstLine="993"/>
        <w:jc w:val="both"/>
        <w:rPr>
          <w:sz w:val="28"/>
          <w:szCs w:val="28"/>
        </w:rPr>
      </w:pPr>
      <w:r w:rsidRPr="00C2007B">
        <w:rPr>
          <w:sz w:val="28"/>
          <w:szCs w:val="28"/>
        </w:rPr>
        <w:lastRenderedPageBreak/>
        <w:t>Одним из источников восполнения дефицита трудовых ресурсов в  Смоленском районе может стать миграция населения из стран ближнего зарубежья.</w:t>
      </w:r>
    </w:p>
    <w:p w:rsidR="008410E3" w:rsidRDefault="008410E3" w:rsidP="008410E3">
      <w:pPr>
        <w:tabs>
          <w:tab w:val="left" w:pos="2520"/>
        </w:tabs>
        <w:ind w:firstLine="993"/>
        <w:jc w:val="both"/>
        <w:rPr>
          <w:sz w:val="28"/>
          <w:szCs w:val="28"/>
        </w:rPr>
      </w:pPr>
    </w:p>
    <w:p w:rsidR="008410E3" w:rsidRDefault="008410E3" w:rsidP="008410E3">
      <w:pPr>
        <w:tabs>
          <w:tab w:val="left" w:pos="2520"/>
        </w:tabs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57950" cy="40386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410E3" w:rsidRDefault="008410E3" w:rsidP="008410E3">
      <w:pPr>
        <w:tabs>
          <w:tab w:val="left" w:pos="252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ряда лет отмечается рост среднемесячной заработной платы.</w:t>
      </w:r>
    </w:p>
    <w:p w:rsidR="008410E3" w:rsidRDefault="008410E3" w:rsidP="008410E3">
      <w:pPr>
        <w:tabs>
          <w:tab w:val="left" w:pos="252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2015 году среднемесячная начисленная заработная плата работников крупных и средних предприятий муниципального района составила 18410 рублей.</w:t>
      </w:r>
    </w:p>
    <w:p w:rsidR="008410E3" w:rsidRPr="00C2007B" w:rsidRDefault="008410E3" w:rsidP="008410E3">
      <w:pPr>
        <w:tabs>
          <w:tab w:val="left" w:pos="252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 прогнозу рост оплаты труда в 2017 году составит 105,5% , в 2018 году – 105%, в 2019 году – 105% к предыдущему году.</w:t>
      </w:r>
    </w:p>
    <w:p w:rsidR="008410E3" w:rsidRDefault="008410E3" w:rsidP="008410E3">
      <w:pPr>
        <w:pStyle w:val="3"/>
      </w:pPr>
    </w:p>
    <w:p w:rsidR="008410E3" w:rsidRDefault="008410E3" w:rsidP="008410E3">
      <w:pPr>
        <w:pStyle w:val="33"/>
        <w:jc w:val="center"/>
      </w:pPr>
      <w:r>
        <w:rPr>
          <w:sz w:val="28"/>
          <w:szCs w:val="28"/>
        </w:rPr>
        <w:t>РАЗВИТИЕ СОЦИАЛЬНОЙ СФЕРЫ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Первоосновой общей системы образования является дошкольное образование. </w:t>
      </w:r>
    </w:p>
    <w:p w:rsidR="008410E3" w:rsidRPr="00F9672C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9672C">
        <w:rPr>
          <w:sz w:val="28"/>
          <w:szCs w:val="28"/>
        </w:rPr>
        <w:t>Дошкольное образование осуществляется в 20 муниципальных</w:t>
      </w:r>
      <w:r>
        <w:rPr>
          <w:sz w:val="28"/>
          <w:szCs w:val="28"/>
        </w:rPr>
        <w:t xml:space="preserve">  </w:t>
      </w:r>
      <w:r w:rsidRPr="00F9672C">
        <w:rPr>
          <w:sz w:val="28"/>
          <w:szCs w:val="28"/>
        </w:rPr>
        <w:t>образовательных учреждениях:</w:t>
      </w:r>
    </w:p>
    <w:p w:rsidR="008410E3" w:rsidRPr="00F9672C" w:rsidRDefault="008410E3" w:rsidP="008410E3">
      <w:pPr>
        <w:jc w:val="both"/>
        <w:rPr>
          <w:sz w:val="28"/>
          <w:szCs w:val="28"/>
        </w:rPr>
      </w:pPr>
      <w:r w:rsidRPr="00F9672C">
        <w:rPr>
          <w:sz w:val="28"/>
          <w:szCs w:val="28"/>
        </w:rPr>
        <w:t>- 13 муниципальных  дошкольных образовательных учреждений  различных  видов,</w:t>
      </w:r>
    </w:p>
    <w:p w:rsidR="008410E3" w:rsidRPr="00F9672C" w:rsidRDefault="008410E3" w:rsidP="008410E3">
      <w:pPr>
        <w:jc w:val="both"/>
        <w:rPr>
          <w:sz w:val="28"/>
          <w:szCs w:val="28"/>
        </w:rPr>
      </w:pPr>
      <w:r w:rsidRPr="00F9672C">
        <w:rPr>
          <w:sz w:val="28"/>
          <w:szCs w:val="28"/>
        </w:rPr>
        <w:t>-1 МОУ «</w:t>
      </w:r>
      <w:proofErr w:type="gramStart"/>
      <w:r w:rsidRPr="00F9672C">
        <w:rPr>
          <w:sz w:val="28"/>
          <w:szCs w:val="28"/>
        </w:rPr>
        <w:t>Начальная</w:t>
      </w:r>
      <w:proofErr w:type="gramEnd"/>
      <w:r w:rsidRPr="00F9672C">
        <w:rPr>
          <w:sz w:val="28"/>
          <w:szCs w:val="28"/>
        </w:rPr>
        <w:t xml:space="preserve"> </w:t>
      </w:r>
      <w:proofErr w:type="spellStart"/>
      <w:r w:rsidRPr="00F9672C">
        <w:rPr>
          <w:sz w:val="28"/>
          <w:szCs w:val="28"/>
        </w:rPr>
        <w:t>школа-детский</w:t>
      </w:r>
      <w:proofErr w:type="spellEnd"/>
      <w:r w:rsidRPr="00F9672C">
        <w:rPr>
          <w:sz w:val="28"/>
          <w:szCs w:val="28"/>
        </w:rPr>
        <w:t xml:space="preserve"> сад»,</w:t>
      </w:r>
    </w:p>
    <w:p w:rsidR="008410E3" w:rsidRPr="00F9672C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>- 7</w:t>
      </w:r>
      <w:r w:rsidRPr="00F9672C">
        <w:rPr>
          <w:sz w:val="28"/>
          <w:szCs w:val="28"/>
        </w:rPr>
        <w:t xml:space="preserve"> общеобразовательных школ с дошкольными  группами.</w:t>
      </w:r>
    </w:p>
    <w:p w:rsidR="008410E3" w:rsidRDefault="008410E3" w:rsidP="008410E3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рождаемости вызовет рост заинтересованности населения в услугах дошкольных образовательных учреждений.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9672C">
        <w:rPr>
          <w:sz w:val="28"/>
          <w:szCs w:val="28"/>
        </w:rPr>
        <w:t xml:space="preserve">С целью реализации задачи доступности дошкольного образования,  в  соответствии с запросами населения по обеспечению местами в дошкольных учреждениях постоянно проводится работа по увеличению количества мест. 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2015 году дополнительно отрыты 2 группы: в детском саду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» (д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уково) и «Золотая рыбка» (</w:t>
      </w:r>
      <w:proofErr w:type="spellStart"/>
      <w:r>
        <w:rPr>
          <w:sz w:val="28"/>
          <w:szCs w:val="28"/>
        </w:rPr>
        <w:t>с.Печерск</w:t>
      </w:r>
      <w:proofErr w:type="spellEnd"/>
      <w:r>
        <w:rPr>
          <w:sz w:val="28"/>
          <w:szCs w:val="28"/>
        </w:rPr>
        <w:t>).</w:t>
      </w:r>
    </w:p>
    <w:p w:rsidR="008410E3" w:rsidRDefault="008410E3" w:rsidP="0084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 2015 году введен в эксплуатацию</w:t>
      </w:r>
      <w:r w:rsidRPr="008C0742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ий</w:t>
      </w:r>
      <w:r w:rsidRPr="008C0742">
        <w:rPr>
          <w:sz w:val="28"/>
          <w:szCs w:val="28"/>
        </w:rPr>
        <w:t xml:space="preserve"> сад в д. </w:t>
      </w:r>
      <w:proofErr w:type="spellStart"/>
      <w:r w:rsidRPr="008C0742">
        <w:rPr>
          <w:sz w:val="28"/>
          <w:szCs w:val="28"/>
        </w:rPr>
        <w:t>Михновка</w:t>
      </w:r>
      <w:proofErr w:type="spellEnd"/>
      <w:r>
        <w:rPr>
          <w:sz w:val="28"/>
          <w:szCs w:val="28"/>
        </w:rPr>
        <w:t xml:space="preserve"> на 60 мест</w:t>
      </w:r>
      <w:r w:rsidRPr="008C0742">
        <w:rPr>
          <w:sz w:val="28"/>
          <w:szCs w:val="28"/>
        </w:rPr>
        <w:t xml:space="preserve">, в </w:t>
      </w:r>
      <w:r>
        <w:rPr>
          <w:sz w:val="28"/>
          <w:szCs w:val="28"/>
        </w:rPr>
        <w:t>рамках областной программы развитие</w:t>
      </w:r>
      <w:r w:rsidRPr="008C0742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 xml:space="preserve">, стоимостью 49 млн. рублей. </w:t>
      </w:r>
    </w:p>
    <w:p w:rsidR="008410E3" w:rsidRDefault="008410E3" w:rsidP="0084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2016 году дополнительно открыты 2 группы: в детском саду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» (д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уково) и «Солнышко» (</w:t>
      </w:r>
      <w:proofErr w:type="spellStart"/>
      <w:r>
        <w:rPr>
          <w:sz w:val="28"/>
          <w:szCs w:val="28"/>
        </w:rPr>
        <w:t>с.Пригорское</w:t>
      </w:r>
      <w:proofErr w:type="spellEnd"/>
      <w:r>
        <w:rPr>
          <w:sz w:val="28"/>
          <w:szCs w:val="28"/>
        </w:rPr>
        <w:t xml:space="preserve">). 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9672C">
        <w:rPr>
          <w:sz w:val="28"/>
          <w:szCs w:val="28"/>
        </w:rPr>
        <w:t xml:space="preserve">По  результатам мониторинга  количество детей дошкольного возраста, получающих дошкольное образование в общеобразовательных учреждениях,   за последние годы </w:t>
      </w:r>
      <w:r>
        <w:rPr>
          <w:sz w:val="28"/>
          <w:szCs w:val="28"/>
        </w:rPr>
        <w:t xml:space="preserve"> постоянно увеличивается. В 2015</w:t>
      </w:r>
      <w:r w:rsidRPr="00F9672C">
        <w:rPr>
          <w:sz w:val="28"/>
          <w:szCs w:val="28"/>
        </w:rPr>
        <w:t xml:space="preserve"> году дошкольным</w:t>
      </w:r>
      <w:r>
        <w:rPr>
          <w:sz w:val="28"/>
          <w:szCs w:val="28"/>
        </w:rPr>
        <w:t xml:space="preserve"> образованием было охвачено 1811 детей. В 2019 году прогнозируется, численность детей в дошкольных образовательных учреждениях района составит 2134.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91275" cy="3552825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410E3" w:rsidRDefault="008410E3" w:rsidP="008410E3">
      <w:pPr>
        <w:jc w:val="both"/>
        <w:rPr>
          <w:sz w:val="28"/>
          <w:szCs w:val="28"/>
        </w:rPr>
      </w:pPr>
    </w:p>
    <w:p w:rsidR="008410E3" w:rsidRPr="00F9672C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результатам мониторинга количество детей дошкольного возраста, получающих дошкольное образование в общеобразовательных учреждениях, за последние годы постоянно увеличивается. В 2015 году дошкольным образованием было охвачено детей в возрасте от 1 до 6 лет - 51,4% от общей численности детей в возрасте 1-6 лет.</w:t>
      </w:r>
    </w:p>
    <w:p w:rsidR="008410E3" w:rsidRDefault="008410E3" w:rsidP="008410E3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общего образования в прогнозный период предполагает создание эффективных механизмов обновления качества образования, разработку и внедрение федеральных государственных образовательных стандартов нового поколения. </w:t>
      </w:r>
    </w:p>
    <w:p w:rsidR="008410E3" w:rsidRPr="00CE00DB" w:rsidRDefault="008410E3" w:rsidP="008410E3">
      <w:pPr>
        <w:jc w:val="both"/>
        <w:rPr>
          <w:sz w:val="28"/>
          <w:szCs w:val="28"/>
        </w:rPr>
      </w:pPr>
      <w:r>
        <w:t xml:space="preserve">             </w:t>
      </w:r>
      <w:r w:rsidRPr="00CE00DB">
        <w:rPr>
          <w:sz w:val="28"/>
          <w:szCs w:val="28"/>
        </w:rPr>
        <w:t xml:space="preserve">В Смоленском районе </w:t>
      </w:r>
      <w:r>
        <w:rPr>
          <w:sz w:val="28"/>
          <w:szCs w:val="28"/>
        </w:rPr>
        <w:t>функционирует 23</w:t>
      </w:r>
      <w:r w:rsidRPr="00CE00DB">
        <w:rPr>
          <w:sz w:val="28"/>
          <w:szCs w:val="28"/>
        </w:rPr>
        <w:t xml:space="preserve"> муниципальных образовательных учреждений: </w:t>
      </w:r>
    </w:p>
    <w:p w:rsidR="008410E3" w:rsidRPr="00CE00DB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>- 16</w:t>
      </w:r>
      <w:r w:rsidRPr="00CE00DB">
        <w:rPr>
          <w:sz w:val="28"/>
          <w:szCs w:val="28"/>
        </w:rPr>
        <w:t xml:space="preserve"> средних,</w:t>
      </w:r>
    </w:p>
    <w:p w:rsidR="008410E3" w:rsidRPr="00CE00DB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>- 6</w:t>
      </w:r>
      <w:r w:rsidRPr="00CE00DB">
        <w:rPr>
          <w:sz w:val="28"/>
          <w:szCs w:val="28"/>
        </w:rPr>
        <w:t xml:space="preserve"> основных, </w:t>
      </w:r>
    </w:p>
    <w:p w:rsidR="008410E3" w:rsidRPr="00CE00DB" w:rsidRDefault="008410E3" w:rsidP="008410E3">
      <w:pPr>
        <w:jc w:val="both"/>
        <w:rPr>
          <w:sz w:val="28"/>
          <w:szCs w:val="28"/>
        </w:rPr>
      </w:pPr>
      <w:r w:rsidRPr="00CE00DB">
        <w:rPr>
          <w:sz w:val="28"/>
          <w:szCs w:val="28"/>
        </w:rPr>
        <w:t xml:space="preserve">- 1 учреждение для детей дошкольного и младшего школьного возраста. </w:t>
      </w:r>
    </w:p>
    <w:p w:rsidR="008410E3" w:rsidRDefault="008410E3" w:rsidP="008410E3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9A43D1">
        <w:rPr>
          <w:sz w:val="28"/>
          <w:szCs w:val="28"/>
        </w:rPr>
        <w:lastRenderedPageBreak/>
        <w:t xml:space="preserve">  В 201</w:t>
      </w:r>
      <w:r>
        <w:rPr>
          <w:sz w:val="28"/>
          <w:szCs w:val="28"/>
        </w:rPr>
        <w:t>5</w:t>
      </w:r>
      <w:r w:rsidRPr="009A43D1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9A43D1">
        <w:rPr>
          <w:sz w:val="28"/>
          <w:szCs w:val="28"/>
        </w:rPr>
        <w:t xml:space="preserve"> учебном  году в образовательных учреждениях обучается </w:t>
      </w:r>
      <w:r>
        <w:rPr>
          <w:sz w:val="28"/>
          <w:szCs w:val="28"/>
        </w:rPr>
        <w:t>3074 школьника.   По планированию к 2019</w:t>
      </w:r>
      <w:r w:rsidRPr="009A43D1">
        <w:rPr>
          <w:sz w:val="28"/>
          <w:szCs w:val="28"/>
        </w:rPr>
        <w:t xml:space="preserve"> </w:t>
      </w:r>
      <w:r>
        <w:rPr>
          <w:sz w:val="28"/>
          <w:szCs w:val="28"/>
        </w:rPr>
        <w:t>году число учащихся составит 3784</w:t>
      </w:r>
      <w:r w:rsidRPr="009A43D1">
        <w:rPr>
          <w:sz w:val="28"/>
          <w:szCs w:val="28"/>
        </w:rPr>
        <w:t xml:space="preserve">. </w:t>
      </w:r>
    </w:p>
    <w:p w:rsidR="008410E3" w:rsidRDefault="008410E3" w:rsidP="008410E3">
      <w:pPr>
        <w:pStyle w:val="31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 2017-2018 годы запланировано строительство 2 корпуса </w:t>
      </w:r>
      <w:proofErr w:type="spellStart"/>
      <w:r>
        <w:rPr>
          <w:sz w:val="28"/>
          <w:szCs w:val="28"/>
        </w:rPr>
        <w:t>Гнездовской</w:t>
      </w:r>
      <w:proofErr w:type="spellEnd"/>
      <w:r>
        <w:rPr>
          <w:sz w:val="28"/>
          <w:szCs w:val="28"/>
        </w:rPr>
        <w:t xml:space="preserve"> школы в рамках областной программы. </w:t>
      </w:r>
    </w:p>
    <w:p w:rsidR="008410E3" w:rsidRDefault="008410E3" w:rsidP="008410E3">
      <w:pPr>
        <w:pStyle w:val="31"/>
        <w:ind w:firstLine="851"/>
        <w:rPr>
          <w:sz w:val="28"/>
        </w:rPr>
      </w:pPr>
      <w:r>
        <w:rPr>
          <w:sz w:val="28"/>
        </w:rPr>
        <w:t xml:space="preserve">В 2017-2019 году комитет по образованию продолжит работу по совершенствованию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– материальной базы школ; по реализации программы модернизации российского образования; по управлению качеством образования.  </w:t>
      </w:r>
    </w:p>
    <w:p w:rsidR="008410E3" w:rsidRDefault="008410E3" w:rsidP="008410E3">
      <w:pPr>
        <w:pStyle w:val="2"/>
        <w:spacing w:line="240" w:lineRule="auto"/>
        <w:ind w:firstLine="708"/>
        <w:jc w:val="both"/>
      </w:pPr>
    </w:p>
    <w:p w:rsidR="008410E3" w:rsidRDefault="008410E3" w:rsidP="008410E3">
      <w:pPr>
        <w:pStyle w:val="2"/>
        <w:spacing w:line="240" w:lineRule="auto"/>
        <w:jc w:val="both"/>
      </w:pPr>
      <w:r>
        <w:rPr>
          <w:noProof/>
        </w:rPr>
        <w:drawing>
          <wp:inline distT="0" distB="0" distL="0" distR="0">
            <wp:extent cx="6372225" cy="3343275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410E3" w:rsidRDefault="008410E3" w:rsidP="008410E3">
      <w:pPr>
        <w:pStyle w:val="31"/>
        <w:ind w:firstLine="851"/>
        <w:rPr>
          <w:sz w:val="28"/>
        </w:rPr>
      </w:pPr>
      <w:r>
        <w:rPr>
          <w:sz w:val="28"/>
        </w:rPr>
        <w:t xml:space="preserve">   </w:t>
      </w:r>
    </w:p>
    <w:p w:rsidR="008410E3" w:rsidRDefault="008410E3" w:rsidP="008410E3">
      <w:pPr>
        <w:pStyle w:val="ad"/>
      </w:pPr>
      <w:r>
        <w:t xml:space="preserve">            Основными задачами в области культуры Администрация района считает сохранение культурного потенциала и культурного наследия района, развитие самодеятельного искусства, развитие и укрепление материально – технической базы отрасли.</w:t>
      </w:r>
    </w:p>
    <w:p w:rsidR="008410E3" w:rsidRDefault="008410E3" w:rsidP="008410E3">
      <w:pPr>
        <w:pStyle w:val="ad"/>
      </w:pPr>
      <w:r>
        <w:t xml:space="preserve">            Сеть учреждений культуры района:</w:t>
      </w:r>
    </w:p>
    <w:p w:rsidR="008410E3" w:rsidRDefault="008410E3" w:rsidP="008410E3">
      <w:pPr>
        <w:pStyle w:val="ad"/>
      </w:pPr>
      <w:r>
        <w:t xml:space="preserve">            - 31 учреждение </w:t>
      </w:r>
      <w:proofErr w:type="spellStart"/>
      <w:r>
        <w:t>культурно-досугового</w:t>
      </w:r>
      <w:proofErr w:type="spellEnd"/>
      <w:r>
        <w:t xml:space="preserve"> типа;</w:t>
      </w:r>
    </w:p>
    <w:p w:rsidR="008410E3" w:rsidRDefault="008410E3" w:rsidP="008410E3">
      <w:pPr>
        <w:pStyle w:val="ad"/>
      </w:pPr>
      <w:r>
        <w:t xml:space="preserve">            - 31 библиотека;</w:t>
      </w:r>
    </w:p>
    <w:p w:rsidR="008410E3" w:rsidRDefault="008410E3" w:rsidP="008410E3">
      <w:pPr>
        <w:pStyle w:val="ad"/>
      </w:pPr>
      <w:r>
        <w:t xml:space="preserve">            - 7 спортивных залов;</w:t>
      </w:r>
    </w:p>
    <w:p w:rsidR="008410E3" w:rsidRDefault="008410E3" w:rsidP="008410E3">
      <w:pPr>
        <w:pStyle w:val="ad"/>
      </w:pPr>
      <w:r>
        <w:t xml:space="preserve">            - 2 стадиона; </w:t>
      </w:r>
    </w:p>
    <w:p w:rsidR="008410E3" w:rsidRDefault="008410E3" w:rsidP="008410E3">
      <w:pPr>
        <w:pStyle w:val="ad"/>
      </w:pPr>
      <w:r>
        <w:t xml:space="preserve">            - 5 школ искусств.</w:t>
      </w:r>
    </w:p>
    <w:p w:rsidR="008410E3" w:rsidRDefault="008410E3" w:rsidP="008410E3">
      <w:pPr>
        <w:pStyle w:val="ad"/>
      </w:pPr>
      <w:r>
        <w:t xml:space="preserve">            Вся культурно-массовая работа в учреждениях культуры района направлена на организацию досуга всех возрастных групп населения.</w:t>
      </w:r>
    </w:p>
    <w:p w:rsidR="008410E3" w:rsidRPr="007B2544" w:rsidRDefault="008410E3" w:rsidP="008410E3">
      <w:pPr>
        <w:jc w:val="both"/>
        <w:rPr>
          <w:sz w:val="28"/>
          <w:szCs w:val="28"/>
        </w:rPr>
      </w:pPr>
      <w:r>
        <w:t xml:space="preserve">             </w:t>
      </w:r>
      <w:r w:rsidRPr="002022BB">
        <w:rPr>
          <w:sz w:val="28"/>
          <w:szCs w:val="28"/>
        </w:rPr>
        <w:t>В сельских домах культуры и клубах  района работает 1</w:t>
      </w:r>
      <w:r>
        <w:rPr>
          <w:sz w:val="28"/>
          <w:szCs w:val="28"/>
        </w:rPr>
        <w:t>72</w:t>
      </w:r>
      <w:r w:rsidRPr="002022BB">
        <w:rPr>
          <w:sz w:val="28"/>
          <w:szCs w:val="28"/>
        </w:rPr>
        <w:t xml:space="preserve"> клубных формирований, в которых занимаются </w:t>
      </w:r>
      <w:r>
        <w:rPr>
          <w:sz w:val="28"/>
          <w:szCs w:val="28"/>
        </w:rPr>
        <w:t>1944 человека</w:t>
      </w:r>
      <w:r w:rsidRPr="002022BB">
        <w:rPr>
          <w:sz w:val="28"/>
          <w:szCs w:val="28"/>
        </w:rPr>
        <w:t>.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Смоленском районе 10</w:t>
      </w:r>
      <w:r w:rsidRPr="002022BB">
        <w:rPr>
          <w:sz w:val="28"/>
          <w:szCs w:val="28"/>
        </w:rPr>
        <w:t xml:space="preserve"> коллективов художественной самодеятельности имеющих звание «Народный» и 2, имеющих звание «Образцовый».</w:t>
      </w:r>
    </w:p>
    <w:p w:rsidR="008410E3" w:rsidRDefault="008410E3" w:rsidP="0084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Численность регулярно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физической культурой и спортом 7902 человека, 14,6% от общего числа населения. В прогнозном периоде планируется </w:t>
      </w:r>
      <w:r>
        <w:rPr>
          <w:sz w:val="28"/>
          <w:szCs w:val="28"/>
        </w:rPr>
        <w:lastRenderedPageBreak/>
        <w:t>долю населения района, систематически занимающегося физической культурой и спортом увеличить до 20%.</w:t>
      </w:r>
    </w:p>
    <w:p w:rsidR="008410E3" w:rsidRDefault="008410E3" w:rsidP="008410E3">
      <w:pPr>
        <w:jc w:val="both"/>
      </w:pPr>
      <w:r>
        <w:rPr>
          <w:sz w:val="28"/>
          <w:szCs w:val="28"/>
        </w:rPr>
        <w:t xml:space="preserve">            </w:t>
      </w:r>
    </w:p>
    <w:p w:rsidR="008410E3" w:rsidRDefault="008410E3" w:rsidP="008410E3">
      <w:pPr>
        <w:pStyle w:val="ad"/>
      </w:pPr>
    </w:p>
    <w:p w:rsidR="008410E3" w:rsidRDefault="008410E3"/>
    <w:sectPr w:rsidR="008410E3" w:rsidSect="003E4657">
      <w:headerReference w:type="default" r:id="rId17"/>
      <w:headerReference w:type="first" r:id="rId18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07" w:rsidRDefault="00117207" w:rsidP="008E187E">
      <w:r>
        <w:separator/>
      </w:r>
    </w:p>
  </w:endnote>
  <w:endnote w:type="continuationSeparator" w:id="0">
    <w:p w:rsidR="00117207" w:rsidRDefault="00117207" w:rsidP="008E1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07" w:rsidRDefault="00117207" w:rsidP="008E187E">
      <w:r>
        <w:separator/>
      </w:r>
    </w:p>
  </w:footnote>
  <w:footnote w:type="continuationSeparator" w:id="0">
    <w:p w:rsidR="00117207" w:rsidRDefault="00117207" w:rsidP="008E1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4704"/>
      <w:docPartObj>
        <w:docPartGallery w:val="Page Numbers (Top of Page)"/>
        <w:docPartUnique/>
      </w:docPartObj>
    </w:sdtPr>
    <w:sdtContent>
      <w:p w:rsidR="003E4657" w:rsidRDefault="00405D37">
        <w:pPr>
          <w:pStyle w:val="a4"/>
          <w:jc w:val="center"/>
        </w:pPr>
        <w:r>
          <w:fldChar w:fldCharType="begin"/>
        </w:r>
        <w:r w:rsidR="00D612C8">
          <w:instrText xml:space="preserve"> PAGE   \* MERGEFORMAT </w:instrText>
        </w:r>
        <w:r>
          <w:fldChar w:fldCharType="separate"/>
        </w:r>
        <w:r w:rsidR="008410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4657" w:rsidRDefault="001172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AC5" w:rsidRPr="003C5AC5" w:rsidRDefault="00D612C8" w:rsidP="00D3491C">
    <w:pPr>
      <w:pStyle w:val="a4"/>
      <w:tabs>
        <w:tab w:val="left" w:pos="9285"/>
        <w:tab w:val="right" w:pos="10205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32F"/>
    <w:rsid w:val="00117207"/>
    <w:rsid w:val="001C1614"/>
    <w:rsid w:val="003866DF"/>
    <w:rsid w:val="003A61CC"/>
    <w:rsid w:val="00405D37"/>
    <w:rsid w:val="0079352F"/>
    <w:rsid w:val="008410E3"/>
    <w:rsid w:val="008E187E"/>
    <w:rsid w:val="00B952CC"/>
    <w:rsid w:val="00BA3944"/>
    <w:rsid w:val="00D325CA"/>
    <w:rsid w:val="00D612C8"/>
    <w:rsid w:val="00E8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10E3"/>
    <w:pPr>
      <w:keepNext/>
      <w:tabs>
        <w:tab w:val="left" w:pos="4536"/>
      </w:tabs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8410E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A394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BA3944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unhideWhenUsed/>
    <w:rsid w:val="00BA39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BA3944"/>
    <w:pPr>
      <w:ind w:left="2160"/>
    </w:pPr>
    <w:rPr>
      <w:sz w:val="32"/>
    </w:rPr>
  </w:style>
  <w:style w:type="character" w:customStyle="1" w:styleId="a7">
    <w:name w:val="Основной текст с отступом Знак"/>
    <w:basedOn w:val="a0"/>
    <w:link w:val="a6"/>
    <w:rsid w:val="00BA39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BA3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BA3944"/>
    <w:rPr>
      <w:rFonts w:ascii="Verdana" w:hAnsi="Verdana" w:cs="Verdana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A61C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61C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C16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1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410E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410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410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10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8410E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410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410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10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10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1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8410E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рождаемости и смертности</a:t>
            </a:r>
          </a:p>
        </c:rich>
      </c:tx>
      <c:layout>
        <c:manualLayout>
          <c:xMode val="edge"/>
          <c:yMode val="edge"/>
          <c:x val="0.2904689863842666"/>
          <c:y val="2.1126760563380278E-2"/>
        </c:manualLayout>
      </c:layout>
      <c:spPr>
        <a:noFill/>
        <a:ln w="25324">
          <a:noFill/>
        </a:ln>
      </c:spPr>
    </c:title>
    <c:view3D>
      <c:rotX val="90"/>
      <c:hPercent val="84"/>
      <c:rotY val="44"/>
      <c:depthPercent val="2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99CCFF"/>
            </a:gs>
            <a:gs pos="100000">
              <a:srgbClr val="99CCFF">
                <a:gamma/>
                <a:tint val="30196"/>
                <a:invGamma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99CCFF"/>
            </a:gs>
            <a:gs pos="100000">
              <a:srgbClr val="99CCFF">
                <a:gamma/>
                <a:tint val="30196"/>
                <a:invGamma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540090771558241E-2"/>
          <c:y val="0.15023474178403762"/>
          <c:w val="0.6036308623298039"/>
          <c:h val="0.7253521126760565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Число родившихся, человек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 оценка</c:v>
                </c:pt>
                <c:pt idx="3">
                  <c:v>2017 прогноз</c:v>
                </c:pt>
                <c:pt idx="4">
                  <c:v>2018 прогноз</c:v>
                </c:pt>
                <c:pt idx="5">
                  <c:v>2019 прпогноз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554</c:v>
                </c:pt>
                <c:pt idx="1">
                  <c:v>464</c:v>
                </c:pt>
                <c:pt idx="2">
                  <c:v>483</c:v>
                </c:pt>
                <c:pt idx="3">
                  <c:v>515</c:v>
                </c:pt>
                <c:pt idx="4">
                  <c:v>536</c:v>
                </c:pt>
                <c:pt idx="5">
                  <c:v>554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Число умерших, человек</c:v>
                </c:pt>
              </c:strCache>
            </c:strRef>
          </c:tx>
          <c:spPr>
            <a:solidFill>
              <a:srgbClr val="993366"/>
            </a:solidFill>
            <a:ln w="12662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 оценка</c:v>
                </c:pt>
                <c:pt idx="3">
                  <c:v>2017 прогноз</c:v>
                </c:pt>
                <c:pt idx="4">
                  <c:v>2018 прогноз</c:v>
                </c:pt>
                <c:pt idx="5">
                  <c:v>2019 прпогноз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845</c:v>
                </c:pt>
                <c:pt idx="1">
                  <c:v>829</c:v>
                </c:pt>
                <c:pt idx="2">
                  <c:v>835</c:v>
                </c:pt>
                <c:pt idx="3">
                  <c:v>827</c:v>
                </c:pt>
                <c:pt idx="4">
                  <c:v>815</c:v>
                </c:pt>
                <c:pt idx="5">
                  <c:v>804</c:v>
                </c:pt>
              </c:numCache>
            </c:numRef>
          </c:val>
        </c:ser>
        <c:gapWidth val="80"/>
        <c:gapDepth val="0"/>
        <c:shape val="cylinder"/>
        <c:axId val="167965056"/>
        <c:axId val="167966592"/>
        <c:axId val="0"/>
      </c:bar3DChart>
      <c:catAx>
        <c:axId val="167965056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966592"/>
        <c:crosses val="autoZero"/>
        <c:auto val="1"/>
        <c:lblAlgn val="ctr"/>
        <c:lblOffset val="100"/>
        <c:tickLblSkip val="1"/>
        <c:tickMarkSkip val="1"/>
      </c:catAx>
      <c:valAx>
        <c:axId val="167966592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965056"/>
        <c:crosses val="autoZero"/>
        <c:crossBetween val="between"/>
        <c:majorUnit val="100"/>
        <c:minorUnit val="100"/>
      </c:valAx>
      <c:spPr>
        <a:noFill/>
        <a:ln w="25324">
          <a:noFill/>
        </a:ln>
      </c:spPr>
    </c:plotArea>
    <c:legend>
      <c:legendPos val="r"/>
      <c:layout>
        <c:manualLayout>
          <c:xMode val="edge"/>
          <c:yMode val="edge"/>
          <c:x val="0.68381240544629351"/>
          <c:y val="0.45305164319248831"/>
          <c:w val="0.31013615733736771"/>
          <c:h val="0.20422535211267612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C0C0C0">
            <a:gamma/>
            <a:tint val="63922"/>
            <a:invGamma/>
          </a:srgbClr>
        </a:gs>
        <a:gs pos="50000">
          <a:srgbClr val="C0C0C0"/>
        </a:gs>
        <a:gs pos="100000">
          <a:srgbClr val="C0C0C0">
            <a:gamma/>
            <a:tint val="63922"/>
            <a:invGamma/>
          </a:srgbClr>
        </a:gs>
      </a:gsLst>
      <a:lin ang="5400000" scaled="1"/>
    </a:gradFill>
    <a:ln>
      <a:noFill/>
    </a:ln>
  </c:spPr>
  <c:txPr>
    <a:bodyPr/>
    <a:lstStyle/>
    <a:p>
      <a:pPr>
        <a:defRPr sz="186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 sz="11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Численность учащихся в общеобразовательных учреждениях</a:t>
            </a:r>
          </a:p>
        </c:rich>
      </c:tx>
      <c:layout>
        <c:manualLayout>
          <c:xMode val="edge"/>
          <c:yMode val="edge"/>
          <c:x val="0.15279878971255678"/>
          <c:y val="8.7976539589442859E-3"/>
        </c:manualLayout>
      </c:layout>
      <c:spPr>
        <a:noFill/>
        <a:ln w="25324">
          <a:noFill/>
        </a:ln>
      </c:spPr>
    </c:title>
    <c:view3D>
      <c:rotX val="43"/>
      <c:hPercent val="60"/>
      <c:rotY val="44"/>
      <c:depthPercent val="5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99CCFF"/>
            </a:gs>
            <a:gs pos="100000">
              <a:srgbClr val="99CCFF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99CCFF"/>
            </a:gs>
            <a:gs pos="100000">
              <a:srgbClr val="99CCFF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565809379727683E-2"/>
          <c:y val="0.14369501466275661"/>
          <c:w val="0.60968229954614239"/>
          <c:h val="0.6480938416422287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учащихся, человек</c:v>
                </c:pt>
              </c:strCache>
            </c:strRef>
          </c:tx>
          <c:spPr>
            <a:solidFill>
              <a:srgbClr val="00CCFF"/>
            </a:solidFill>
            <a:ln w="12662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2014 г. </c:v>
                </c:pt>
                <c:pt idx="1">
                  <c:v>2015г.</c:v>
                </c:pt>
                <c:pt idx="2">
                  <c:v>2016г. Оценка</c:v>
                </c:pt>
                <c:pt idx="3">
                  <c:v>2017 г. прогноз</c:v>
                </c:pt>
                <c:pt idx="4">
                  <c:v>2018 г. прогноз</c:v>
                </c:pt>
                <c:pt idx="5">
                  <c:v>2019 прогноз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2924</c:v>
                </c:pt>
                <c:pt idx="1">
                  <c:v>3074</c:v>
                </c:pt>
                <c:pt idx="2">
                  <c:v>3253</c:v>
                </c:pt>
                <c:pt idx="3">
                  <c:v>3438</c:v>
                </c:pt>
                <c:pt idx="4">
                  <c:v>3590</c:v>
                </c:pt>
                <c:pt idx="5">
                  <c:v>3784</c:v>
                </c:pt>
              </c:numCache>
            </c:numRef>
          </c:val>
          <c:shape val="cylinder"/>
        </c:ser>
        <c:gapWidth val="120"/>
        <c:gapDepth val="180"/>
        <c:shape val="box"/>
        <c:axId val="62032512"/>
        <c:axId val="62034304"/>
        <c:axId val="0"/>
      </c:bar3DChart>
      <c:catAx>
        <c:axId val="62032512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034304"/>
        <c:crosses val="autoZero"/>
        <c:auto val="1"/>
        <c:lblAlgn val="ctr"/>
        <c:lblOffset val="100"/>
        <c:tickLblSkip val="1"/>
        <c:tickMarkSkip val="1"/>
      </c:catAx>
      <c:valAx>
        <c:axId val="62034304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2032512"/>
        <c:crosses val="autoZero"/>
        <c:crossBetween val="between"/>
      </c:valAx>
      <c:spPr>
        <a:noFill/>
        <a:ln w="25324">
          <a:noFill/>
        </a:ln>
      </c:spPr>
    </c:plotArea>
    <c:legend>
      <c:legendPos val="r"/>
      <c:layout>
        <c:manualLayout>
          <c:xMode val="edge"/>
          <c:yMode val="edge"/>
          <c:x val="0.73978819969742815"/>
          <c:y val="0.52199413489736057"/>
          <c:w val="0.2556732223903177"/>
          <c:h val="0.12903225806451613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75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EAEAEA"/>
    </a:solidFill>
    <a:ln>
      <a:noFill/>
    </a:ln>
  </c:spPr>
  <c:txPr>
    <a:bodyPr/>
    <a:lstStyle/>
    <a:p>
      <a:pPr>
        <a:defRPr sz="14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4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численности населения</a:t>
            </a:r>
          </a:p>
        </c:rich>
      </c:tx>
      <c:layout>
        <c:manualLayout>
          <c:xMode val="edge"/>
          <c:yMode val="edge"/>
          <c:x val="0.31626506024096396"/>
          <c:y val="1.9169329073482434E-2"/>
        </c:manualLayout>
      </c:layout>
      <c:spPr>
        <a:noFill/>
        <a:ln w="25325">
          <a:noFill/>
        </a:ln>
      </c:spPr>
    </c:title>
    <c:view3D>
      <c:hPercent val="58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CC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CC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91566265060244"/>
          <c:y val="0.16932907348242823"/>
          <c:w val="0.57228915662650626"/>
          <c:h val="0.686900958466453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населения,  человек</c:v>
                </c:pt>
              </c:strCache>
            </c:strRef>
          </c:tx>
          <c:spPr>
            <a:solidFill>
              <a:srgbClr val="008080"/>
            </a:solidFill>
            <a:ln w="12662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2014 г.</c:v>
                </c:pt>
                <c:pt idx="1">
                  <c:v>2015г.</c:v>
                </c:pt>
                <c:pt idx="2">
                  <c:v>2016г. Оценка</c:v>
                </c:pt>
                <c:pt idx="3">
                  <c:v>2017 г. прогноз</c:v>
                </c:pt>
                <c:pt idx="4">
                  <c:v>2018 г. прогноз</c:v>
                </c:pt>
                <c:pt idx="5">
                  <c:v>2019г. Прогноз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52220</c:v>
                </c:pt>
                <c:pt idx="1">
                  <c:v>54000</c:v>
                </c:pt>
                <c:pt idx="2">
                  <c:v>55000</c:v>
                </c:pt>
                <c:pt idx="3">
                  <c:v>55900</c:v>
                </c:pt>
                <c:pt idx="4">
                  <c:v>56900</c:v>
                </c:pt>
                <c:pt idx="5">
                  <c:v>57980</c:v>
                </c:pt>
              </c:numCache>
            </c:numRef>
          </c:val>
          <c:shape val="cylinder"/>
        </c:ser>
        <c:gapDepth val="0"/>
        <c:shape val="box"/>
        <c:axId val="168399232"/>
        <c:axId val="193913216"/>
        <c:axId val="0"/>
      </c:bar3DChart>
      <c:catAx>
        <c:axId val="168399232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3913216"/>
        <c:crossesAt val="44000"/>
        <c:auto val="1"/>
        <c:lblAlgn val="ctr"/>
        <c:lblOffset val="100"/>
        <c:tickLblSkip val="1"/>
        <c:tickMarkSkip val="1"/>
      </c:catAx>
      <c:valAx>
        <c:axId val="193913216"/>
        <c:scaling>
          <c:orientation val="minMax"/>
          <c:min val="44000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399232"/>
        <c:crosses val="autoZero"/>
        <c:crossBetween val="between"/>
        <c:majorUnit val="990.81999999999982"/>
        <c:minorUnit val="990.81999999999982"/>
      </c:valAx>
      <c:spPr>
        <a:noFill/>
        <a:ln w="25325">
          <a:noFill/>
        </a:ln>
      </c:spPr>
    </c:plotArea>
    <c:legend>
      <c:legendPos val="r"/>
      <c:layout>
        <c:manualLayout>
          <c:xMode val="edge"/>
          <c:yMode val="edge"/>
          <c:x val="0.69277108433734935"/>
          <c:y val="0.4952076677316295"/>
          <c:w val="0.30120481927710857"/>
          <c:h val="0.13418530351437699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52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C0C0C0">
            <a:gamma/>
            <a:tint val="63922"/>
            <a:invGamma/>
          </a:srgbClr>
        </a:gs>
        <a:gs pos="50000">
          <a:srgbClr val="C0C0C0"/>
        </a:gs>
        <a:gs pos="100000">
          <a:srgbClr val="C0C0C0">
            <a:gamma/>
            <a:tint val="63922"/>
            <a:invGamma/>
          </a:srgbClr>
        </a:gs>
      </a:gsLst>
      <a:lin ang="5400000" scaled="1"/>
    </a:gradFill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промышленного производства</a:t>
            </a:r>
          </a:p>
        </c:rich>
      </c:tx>
      <c:layout>
        <c:manualLayout>
          <c:xMode val="edge"/>
          <c:yMode val="edge"/>
          <c:x val="0.28035982008995525"/>
          <c:y val="2.0202020202020211E-2"/>
        </c:manualLayout>
      </c:layout>
      <c:spPr>
        <a:noFill/>
        <a:ln w="25325">
          <a:noFill/>
        </a:ln>
      </c:spPr>
    </c:title>
    <c:view3D>
      <c:hPercent val="58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CC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CC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967016491754127E-2"/>
          <c:y val="0.17171717171717177"/>
          <c:w val="0.57421289355322358"/>
          <c:h val="0.6767676767676770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Объем отгруженных товаров собственного производства, выполненных работ и услуг, млн. руб.</c:v>
                </c:pt>
              </c:strCache>
            </c:strRef>
          </c:tx>
          <c:spPr>
            <a:solidFill>
              <a:srgbClr val="333399"/>
            </a:solidFill>
            <a:ln w="12662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2014г.</c:v>
                </c:pt>
                <c:pt idx="1">
                  <c:v>2015г.</c:v>
                </c:pt>
                <c:pt idx="2">
                  <c:v>2016г. Оценка</c:v>
                </c:pt>
                <c:pt idx="3">
                  <c:v>2017 г. прогноз</c:v>
                </c:pt>
                <c:pt idx="4">
                  <c:v>2018 г. прогноз</c:v>
                </c:pt>
                <c:pt idx="5">
                  <c:v>2019г. Прогноз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650.20000000000005</c:v>
                </c:pt>
                <c:pt idx="1">
                  <c:v>757.45999999999981</c:v>
                </c:pt>
                <c:pt idx="2">
                  <c:v>828.3</c:v>
                </c:pt>
                <c:pt idx="3">
                  <c:v>904.47</c:v>
                </c:pt>
                <c:pt idx="4">
                  <c:v>977.58</c:v>
                </c:pt>
                <c:pt idx="5">
                  <c:v>1047</c:v>
                </c:pt>
              </c:numCache>
            </c:numRef>
          </c:val>
          <c:shape val="cylinder"/>
        </c:ser>
        <c:gapDepth val="0"/>
        <c:shape val="box"/>
        <c:axId val="195221376"/>
        <c:axId val="197337088"/>
        <c:axId val="0"/>
      </c:bar3DChart>
      <c:catAx>
        <c:axId val="195221376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7337088"/>
        <c:crosses val="autoZero"/>
        <c:auto val="1"/>
        <c:lblAlgn val="ctr"/>
        <c:lblOffset val="100"/>
        <c:tickLblSkip val="1"/>
        <c:tickMarkSkip val="1"/>
      </c:catAx>
      <c:valAx>
        <c:axId val="197337088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5221376"/>
        <c:crosses val="autoZero"/>
        <c:crossBetween val="between"/>
        <c:majorUnit val="100"/>
        <c:minorUnit val="100"/>
      </c:valAx>
      <c:spPr>
        <a:noFill/>
        <a:ln w="25325">
          <a:noFill/>
        </a:ln>
      </c:spPr>
    </c:plotArea>
    <c:legend>
      <c:legendPos val="r"/>
      <c:layout>
        <c:manualLayout>
          <c:xMode val="edge"/>
          <c:yMode val="edge"/>
          <c:x val="0.65667166416791622"/>
          <c:y val="0.43097643097643107"/>
          <c:w val="0.33733133433283374"/>
          <c:h val="0.26262626262626276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07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C0C0C0">
            <a:gamma/>
            <a:tint val="63922"/>
            <a:invGamma/>
          </a:srgbClr>
        </a:gs>
        <a:gs pos="50000">
          <a:srgbClr val="C0C0C0"/>
        </a:gs>
        <a:gs pos="100000">
          <a:srgbClr val="C0C0C0">
            <a:gamma/>
            <a:tint val="63922"/>
            <a:invGamma/>
          </a:srgbClr>
        </a:gs>
      </a:gsLst>
      <a:lin ang="5400000" scaled="1"/>
    </a:gradFill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 sz="11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Производство подукции сельского хозяйства</a:t>
            </a:r>
          </a:p>
        </c:rich>
      </c:tx>
      <c:layout>
        <c:manualLayout>
          <c:xMode val="edge"/>
          <c:yMode val="edge"/>
          <c:x val="0.24574961360123654"/>
          <c:y val="1.928374655647383E-2"/>
        </c:manualLayout>
      </c:layout>
      <c:spPr>
        <a:noFill/>
        <a:ln w="25323">
          <a:noFill/>
        </a:ln>
      </c:spPr>
    </c:title>
    <c:view3D>
      <c:hPercent val="65"/>
      <c:rotY val="44"/>
      <c:depthPercent val="5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99CCFF"/>
            </a:gs>
            <a:gs pos="100000">
              <a:srgbClr val="99CCFF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99CCFF"/>
            </a:gs>
            <a:gs pos="100000">
              <a:srgbClr val="99CCFF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006182380216412E-2"/>
          <c:y val="0.13774104683195598"/>
          <c:w val="0.61514683153013938"/>
          <c:h val="0.661157024793388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Производство продукции сельского хозяйства, млн. руб.</c:v>
                </c:pt>
              </c:strCache>
            </c:strRef>
          </c:tx>
          <c:spPr>
            <a:solidFill>
              <a:srgbClr val="33CCCC"/>
            </a:solidFill>
            <a:ln w="12661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2014г.</c:v>
                </c:pt>
                <c:pt idx="1">
                  <c:v>2015г.</c:v>
                </c:pt>
                <c:pt idx="2">
                  <c:v>2016г. Оценка</c:v>
                </c:pt>
                <c:pt idx="3">
                  <c:v>2017 г. прогноз</c:v>
                </c:pt>
                <c:pt idx="4">
                  <c:v>2018 г. прогноз</c:v>
                </c:pt>
                <c:pt idx="5">
                  <c:v>2019г. Прогноз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2680</c:v>
                </c:pt>
                <c:pt idx="1">
                  <c:v>2512.1</c:v>
                </c:pt>
                <c:pt idx="2">
                  <c:v>2399.0500000000002</c:v>
                </c:pt>
                <c:pt idx="3">
                  <c:v>2568.65</c:v>
                </c:pt>
                <c:pt idx="4">
                  <c:v>2751.44</c:v>
                </c:pt>
                <c:pt idx="5">
                  <c:v>2933.04</c:v>
                </c:pt>
              </c:numCache>
            </c:numRef>
          </c:val>
          <c:shape val="cylinder"/>
        </c:ser>
        <c:gapWidth val="120"/>
        <c:gapDepth val="180"/>
        <c:shape val="box"/>
        <c:axId val="197737472"/>
        <c:axId val="197764224"/>
        <c:axId val="0"/>
      </c:bar3DChart>
      <c:catAx>
        <c:axId val="197737472"/>
        <c:scaling>
          <c:orientation val="minMax"/>
        </c:scaling>
        <c:axPos val="b"/>
        <c:numFmt formatCode="General" sourceLinked="1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7764224"/>
        <c:crosses val="autoZero"/>
        <c:auto val="1"/>
        <c:lblAlgn val="ctr"/>
        <c:lblOffset val="100"/>
        <c:tickLblSkip val="1"/>
        <c:tickMarkSkip val="1"/>
      </c:catAx>
      <c:valAx>
        <c:axId val="197764224"/>
        <c:scaling>
          <c:orientation val="minMax"/>
        </c:scaling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7737472"/>
        <c:crosses val="autoZero"/>
        <c:crossBetween val="between"/>
      </c:valAx>
      <c:spPr>
        <a:noFill/>
        <a:ln w="25323">
          <a:noFill/>
        </a:ln>
      </c:spPr>
    </c:plotArea>
    <c:legend>
      <c:legendPos val="r"/>
      <c:layout>
        <c:manualLayout>
          <c:xMode val="edge"/>
          <c:yMode val="edge"/>
          <c:x val="0.70633693972179268"/>
          <c:y val="0.47658402203856748"/>
          <c:w val="0.29366306027820721"/>
          <c:h val="9.366391184573003E-2"/>
        </c:manualLayout>
      </c:layout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75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EAEAEA"/>
    </a:solidFill>
    <a:ln>
      <a:noFill/>
    </a:ln>
  </c:spPr>
  <c:txPr>
    <a:bodyPr/>
    <a:lstStyle/>
    <a:p>
      <a:pPr>
        <a:defRPr sz="159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 sz="11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Рынок товаров и услуг (млн. руб.)</a:t>
            </a:r>
          </a:p>
        </c:rich>
      </c:tx>
      <c:layout>
        <c:manualLayout>
          <c:xMode val="edge"/>
          <c:yMode val="edge"/>
          <c:x val="0.30875576036866381"/>
          <c:y val="2.005012531328321E-2"/>
        </c:manualLayout>
      </c:layout>
      <c:spPr>
        <a:noFill/>
        <a:ln w="25323">
          <a:noFill/>
        </a:ln>
      </c:spPr>
    </c:title>
    <c:view3D>
      <c:hPercent val="75"/>
      <c:rotY val="44"/>
      <c:depthPercent val="8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CCFFCC"/>
            </a:gs>
            <a:gs pos="100000">
              <a:srgbClr val="CCFFCC">
                <a:gamma/>
                <a:tint val="40000"/>
                <a:invGamma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CCFFCC"/>
            </a:gs>
            <a:gs pos="100000">
              <a:srgbClr val="CCFFCC">
                <a:gamma/>
                <a:tint val="40000"/>
                <a:invGamma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907834101382507E-2"/>
          <c:y val="0.12781954887218044"/>
          <c:w val="0.60215053763440884"/>
          <c:h val="0.6817042606516290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spPr>
            <a:gradFill rotWithShape="0">
              <a:gsLst>
                <a:gs pos="0">
                  <a:srgbClr val="993366"/>
                </a:gs>
                <a:gs pos="100000">
                  <a:srgbClr val="FF99CC"/>
                </a:gs>
              </a:gsLst>
              <a:lin ang="0" scaled="1"/>
            </a:gradFill>
            <a:ln w="12662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2014 г. </c:v>
                </c:pt>
                <c:pt idx="1">
                  <c:v>2015г.</c:v>
                </c:pt>
                <c:pt idx="2">
                  <c:v>2016г. Оценка</c:v>
                </c:pt>
                <c:pt idx="3">
                  <c:v>2017 г. прогноз</c:v>
                </c:pt>
                <c:pt idx="4">
                  <c:v>2018 г. прогноз</c:v>
                </c:pt>
                <c:pt idx="5">
                  <c:v>2019г. Прогноз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367.8</c:v>
                </c:pt>
                <c:pt idx="1">
                  <c:v>435.2</c:v>
                </c:pt>
                <c:pt idx="2">
                  <c:v>482</c:v>
                </c:pt>
                <c:pt idx="3">
                  <c:v>523.79999999999995</c:v>
                </c:pt>
                <c:pt idx="4">
                  <c:v>572</c:v>
                </c:pt>
                <c:pt idx="5">
                  <c:v>618.70000000000005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Оборот общественного питания</c:v>
                </c:pt>
              </c:strCache>
            </c:strRef>
          </c:tx>
          <c:spPr>
            <a:gradFill rotWithShape="0">
              <a:gsLst>
                <a:gs pos="0">
                  <a:srgbClr val="008080"/>
                </a:gs>
                <a:gs pos="100000">
                  <a:srgbClr val="33CCCC"/>
                </a:gs>
              </a:gsLst>
              <a:lin ang="0" scaled="1"/>
            </a:gradFill>
            <a:ln w="12662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2014 г. </c:v>
                </c:pt>
                <c:pt idx="1">
                  <c:v>2015г.</c:v>
                </c:pt>
                <c:pt idx="2">
                  <c:v>2016г. Оценка</c:v>
                </c:pt>
                <c:pt idx="3">
                  <c:v>2017 г. прогноз</c:v>
                </c:pt>
                <c:pt idx="4">
                  <c:v>2018 г. прогноз</c:v>
                </c:pt>
                <c:pt idx="5">
                  <c:v>2019г. Прогноз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7.2</c:v>
                </c:pt>
                <c:pt idx="1">
                  <c:v>4.3</c:v>
                </c:pt>
                <c:pt idx="2">
                  <c:v>4.5999999999999996</c:v>
                </c:pt>
                <c:pt idx="3">
                  <c:v>4.9000000000000004</c:v>
                </c:pt>
                <c:pt idx="4">
                  <c:v>5.2</c:v>
                </c:pt>
                <c:pt idx="5">
                  <c:v>5.5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Объем платных услуг населению</c:v>
                </c:pt>
              </c:strCache>
            </c:strRef>
          </c:tx>
          <c:spPr>
            <a:gradFill rotWithShape="0">
              <a:gsLst>
                <a:gs pos="0">
                  <a:srgbClr val="9999FF"/>
                </a:gs>
                <a:gs pos="100000">
                  <a:srgbClr val="9999FF">
                    <a:gamma/>
                    <a:shade val="0"/>
                    <a:invGamma/>
                  </a:srgbClr>
                </a:gs>
              </a:gsLst>
              <a:lin ang="0" scaled="1"/>
            </a:gradFill>
            <a:ln w="12662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2014 г. </c:v>
                </c:pt>
                <c:pt idx="1">
                  <c:v>2015г.</c:v>
                </c:pt>
                <c:pt idx="2">
                  <c:v>2016г. Оценка</c:v>
                </c:pt>
                <c:pt idx="3">
                  <c:v>2017 г. прогноз</c:v>
                </c:pt>
                <c:pt idx="4">
                  <c:v>2018 г. прогноз</c:v>
                </c:pt>
                <c:pt idx="5">
                  <c:v>2019г. Прогноз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45.5</c:v>
                </c:pt>
                <c:pt idx="1">
                  <c:v>63.2</c:v>
                </c:pt>
                <c:pt idx="2">
                  <c:v>68.7</c:v>
                </c:pt>
                <c:pt idx="3">
                  <c:v>74.7</c:v>
                </c:pt>
                <c:pt idx="4">
                  <c:v>81.2</c:v>
                </c:pt>
                <c:pt idx="5">
                  <c:v>88.7</c:v>
                </c:pt>
              </c:numCache>
            </c:numRef>
          </c:val>
        </c:ser>
        <c:gapWidth val="70"/>
        <c:gapDepth val="500"/>
        <c:shape val="box"/>
        <c:axId val="199699072"/>
        <c:axId val="199704960"/>
        <c:axId val="0"/>
      </c:bar3DChart>
      <c:catAx>
        <c:axId val="199699072"/>
        <c:scaling>
          <c:orientation val="minMax"/>
        </c:scaling>
        <c:axPos val="b"/>
        <c:numFmt formatCode="General" sourceLinked="1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9704960"/>
        <c:crosses val="autoZero"/>
        <c:auto val="1"/>
        <c:lblAlgn val="ctr"/>
        <c:lblOffset val="100"/>
        <c:tickLblSkip val="1"/>
        <c:tickMarkSkip val="1"/>
      </c:catAx>
      <c:valAx>
        <c:axId val="199704960"/>
        <c:scaling>
          <c:orientation val="minMax"/>
        </c:scaling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9699072"/>
        <c:crosses val="autoZero"/>
        <c:crossBetween val="between"/>
        <c:majorUnit val="250"/>
      </c:valAx>
      <c:spPr>
        <a:noFill/>
        <a:ln w="25323">
          <a:noFill/>
        </a:ln>
      </c:spPr>
    </c:plotArea>
    <c:legend>
      <c:legendPos val="r"/>
      <c:layout>
        <c:manualLayout>
          <c:xMode val="edge"/>
          <c:yMode val="edge"/>
          <c:x val="0.67895545314900208"/>
          <c:y val="0.44862155388471181"/>
          <c:w val="0.31490015360983126"/>
          <c:h val="0.14536340852130336"/>
        </c:manualLayout>
      </c:layout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75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EAEAEA"/>
    </a:solidFill>
    <a:ln>
      <a:noFill/>
    </a:ln>
  </c:spPr>
  <c:txPr>
    <a:bodyPr/>
    <a:lstStyle/>
    <a:p>
      <a:pPr>
        <a:defRPr sz="174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 sz="11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малых и средних предприятий (%)</a:t>
            </a:r>
          </a:p>
        </c:rich>
      </c:tx>
      <c:layout>
        <c:manualLayout>
          <c:xMode val="edge"/>
          <c:yMode val="edge"/>
          <c:x val="0.24191056149677023"/>
          <c:y val="2.0833298978988894E-2"/>
        </c:manualLayout>
      </c:layout>
      <c:spPr>
        <a:noFill/>
        <a:ln w="25321">
          <a:noFill/>
        </a:ln>
      </c:spPr>
    </c:title>
    <c:view3D>
      <c:rotX val="52"/>
      <c:rotY val="330"/>
      <c:perspective val="0"/>
    </c:view3D>
    <c:plotArea>
      <c:layout>
        <c:manualLayout>
          <c:layoutTarget val="inner"/>
          <c:xMode val="edge"/>
          <c:yMode val="edge"/>
          <c:x val="0.22650231124807391"/>
          <c:y val="8.3333333333333343E-2"/>
          <c:w val="0.51463790446841295"/>
          <c:h val="0.763020833333333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993366"/>
                </a:gs>
                <a:gs pos="100000">
                  <a:srgbClr val="FF99CC"/>
                </a:gs>
              </a:gsLst>
              <a:lin ang="0" scaled="1"/>
            </a:gradFill>
            <a:ln w="1266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gradFill rotWithShape="0">
                <a:gsLst>
                  <a:gs pos="0">
                    <a:srgbClr val="800080"/>
                  </a:gs>
                  <a:gs pos="100000">
                    <a:srgbClr val="800080">
                      <a:gamma/>
                      <a:shade val="66275"/>
                      <a:invGamma/>
                    </a:srgbClr>
                  </a:gs>
                </a:gsLst>
                <a:lin ang="0" scaled="1"/>
              </a:gradFill>
              <a:ln w="1266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FF99CC"/>
                  </a:gs>
                  <a:gs pos="100000">
                    <a:srgbClr val="FF99CC">
                      <a:gamma/>
                      <a:shade val="0"/>
                      <a:invGamma/>
                    </a:srgbClr>
                  </a:gs>
                </a:gsLst>
                <a:lin ang="5400000" scaled="1"/>
              </a:gradFill>
              <a:ln w="1266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008000"/>
                  </a:gs>
                  <a:gs pos="100000">
                    <a:srgbClr val="008000">
                      <a:gamma/>
                      <a:shade val="36078"/>
                      <a:invGamma/>
                    </a:srgbClr>
                  </a:gs>
                </a:gsLst>
                <a:lin ang="5400000" scaled="1"/>
              </a:gradFill>
              <a:ln w="1266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00CCFF"/>
                  </a:gs>
                  <a:gs pos="100000">
                    <a:srgbClr val="00CCFF">
                      <a:gamma/>
                      <a:shade val="66275"/>
                      <a:invGamma/>
                    </a:srgbClr>
                  </a:gs>
                </a:gsLst>
                <a:lin ang="5400000" scaled="1"/>
              </a:gradFill>
              <a:ln w="1266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gradFill rotWithShape="0">
                <a:gsLst>
                  <a:gs pos="0">
                    <a:srgbClr val="9999FF"/>
                  </a:gs>
                  <a:gs pos="100000">
                    <a:srgbClr val="9999FF">
                      <a:gamma/>
                      <a:shade val="56078"/>
                      <a:invGamma/>
                    </a:srgbClr>
                  </a:gs>
                </a:gsLst>
                <a:lin ang="5400000" scaled="1"/>
              </a:gradFill>
              <a:ln w="1266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Оптовая и розничная торговля</c:v>
                </c:pt>
                <c:pt idx="1">
                  <c:v>Транспорт и связь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Прочие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44</c:v>
                </c:pt>
                <c:pt idx="1">
                  <c:v>12.4</c:v>
                </c:pt>
                <c:pt idx="2">
                  <c:v>4.5999999999999996</c:v>
                </c:pt>
                <c:pt idx="3">
                  <c:v>3</c:v>
                </c:pt>
                <c:pt idx="4">
                  <c:v>36</c:v>
                </c:pt>
              </c:numCache>
            </c:numRef>
          </c:val>
        </c:ser>
      </c:pie3DChart>
      <c:spPr>
        <a:gradFill rotWithShape="0">
          <a:gsLst>
            <a:gs pos="0">
              <a:srgbClr val="FFFFCC"/>
            </a:gs>
            <a:gs pos="100000">
              <a:srgbClr val="FFFFCC">
                <a:gamma/>
                <a:shade val="60000"/>
                <a:invGamma/>
              </a:srgbClr>
            </a:gs>
          </a:gsLst>
          <a:lin ang="5400000" scaled="1"/>
        </a:gradFill>
        <a:ln w="1266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0015415268020186"/>
          <c:y val="0.87499993129131126"/>
          <c:w val="0.81818186355865574"/>
          <c:h val="0.12500006870868868"/>
        </c:manualLayout>
      </c:layout>
      <c:spPr>
        <a:solidFill>
          <a:srgbClr val="FFFFFF"/>
        </a:solidFill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07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EAEAEA"/>
    </a:solidFill>
    <a:ln w="12660">
      <a:solidFill>
        <a:srgbClr val="C0C0C0"/>
      </a:solidFill>
      <a:prstDash val="solid"/>
    </a:ln>
  </c:spPr>
  <c:txPr>
    <a:bodyPr/>
    <a:lstStyle/>
    <a:p>
      <a:pPr>
        <a:defRPr sz="176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инвестиций в основной капитал за счет всех источников финансирования
</a:t>
            </a:r>
          </a:p>
        </c:rich>
      </c:tx>
      <c:layout>
        <c:manualLayout>
          <c:xMode val="edge"/>
          <c:yMode val="edge"/>
          <c:x val="0.1324404761904763"/>
          <c:y val="2.0460358056265993E-2"/>
        </c:manualLayout>
      </c:layout>
      <c:spPr>
        <a:noFill/>
        <a:ln w="25326">
          <a:noFill/>
        </a:ln>
      </c:spPr>
    </c:title>
    <c:view3D>
      <c:hPercent val="69"/>
      <c:rotY val="44"/>
      <c:depthPercent val="13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99CCFF"/>
            </a:gs>
            <a:gs pos="100000">
              <a:srgbClr val="99CCFF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99CCFF"/>
            </a:gs>
            <a:gs pos="100000">
              <a:srgbClr val="99CCFF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8214285714285726E-2"/>
          <c:y val="0.12787723785166241"/>
          <c:w val="0.57886904761904789"/>
          <c:h val="0.67774936061381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Объем инвестиций в основной капитал, млн. руб.</c:v>
                </c:pt>
              </c:strCache>
            </c:strRef>
          </c:tx>
          <c:spPr>
            <a:solidFill>
              <a:srgbClr val="CC99FF"/>
            </a:solidFill>
            <a:ln w="12663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2014 г. </c:v>
                </c:pt>
                <c:pt idx="1">
                  <c:v>2015г.</c:v>
                </c:pt>
                <c:pt idx="2">
                  <c:v>2016г. Оценка</c:v>
                </c:pt>
                <c:pt idx="3">
                  <c:v>2017 г. прогноз</c:v>
                </c:pt>
                <c:pt idx="4">
                  <c:v>2018 г. прогноз</c:v>
                </c:pt>
                <c:pt idx="5">
                  <c:v>2019г. Прогноз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1911.92</c:v>
                </c:pt>
                <c:pt idx="1">
                  <c:v>2098.0279999999998</c:v>
                </c:pt>
                <c:pt idx="2">
                  <c:v>2249.4090000000001</c:v>
                </c:pt>
                <c:pt idx="3">
                  <c:v>1745.4470000000001</c:v>
                </c:pt>
                <c:pt idx="4">
                  <c:v>2023.008</c:v>
                </c:pt>
                <c:pt idx="5">
                  <c:v>2197.2889999999993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Индекс физического объема, % к предыдущему году</c:v>
                </c:pt>
              </c:strCache>
            </c:strRef>
          </c:tx>
          <c:spPr>
            <a:solidFill>
              <a:srgbClr val="993366"/>
            </a:solidFill>
            <a:ln w="12663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2014 г. </c:v>
                </c:pt>
                <c:pt idx="1">
                  <c:v>2015г.</c:v>
                </c:pt>
                <c:pt idx="2">
                  <c:v>2016г. Оценка</c:v>
                </c:pt>
                <c:pt idx="3">
                  <c:v>2017 г. прогноз</c:v>
                </c:pt>
                <c:pt idx="4">
                  <c:v>2018 г. прогноз</c:v>
                </c:pt>
                <c:pt idx="5">
                  <c:v>2019г. Прогноз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181.5</c:v>
                </c:pt>
                <c:pt idx="1">
                  <c:v>101.7</c:v>
                </c:pt>
                <c:pt idx="2">
                  <c:v>101.1</c:v>
                </c:pt>
                <c:pt idx="3">
                  <c:v>74</c:v>
                </c:pt>
                <c:pt idx="4">
                  <c:v>110.9</c:v>
                </c:pt>
                <c:pt idx="5">
                  <c:v>104.2</c:v>
                </c:pt>
              </c:numCache>
            </c:numRef>
          </c:val>
        </c:ser>
        <c:gapWidth val="120"/>
        <c:gapDepth val="180"/>
        <c:shape val="box"/>
        <c:axId val="61904000"/>
        <c:axId val="61905536"/>
        <c:axId val="0"/>
      </c:bar3DChart>
      <c:catAx>
        <c:axId val="61904000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905536"/>
        <c:crosses val="autoZero"/>
        <c:auto val="1"/>
        <c:lblAlgn val="ctr"/>
        <c:lblOffset val="100"/>
        <c:tickLblSkip val="1"/>
        <c:tickMarkSkip val="1"/>
      </c:catAx>
      <c:valAx>
        <c:axId val="61905536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1904000"/>
        <c:crosses val="autoZero"/>
        <c:crossBetween val="between"/>
        <c:majorUnit val="3823.8360000000002"/>
      </c:valAx>
      <c:spPr>
        <a:noFill/>
        <a:ln w="25326">
          <a:noFill/>
        </a:ln>
      </c:spPr>
    </c:plotArea>
    <c:legend>
      <c:legendPos val="r"/>
      <c:layout>
        <c:manualLayout>
          <c:xMode val="edge"/>
          <c:yMode val="edge"/>
          <c:x val="0.69196428571428559"/>
          <c:y val="0.4296675191815858"/>
          <c:w val="0.30208333333333331"/>
          <c:h val="0.17135549872122774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EAEAEA"/>
    </a:solidFill>
    <a:ln>
      <a:noFill/>
    </a:ln>
  </c:spPr>
  <c:txPr>
    <a:bodyPr/>
    <a:lstStyle/>
    <a:p>
      <a:pPr>
        <a:defRPr sz="172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Уровень безработицы
</a:t>
            </a:r>
          </a:p>
        </c:rich>
      </c:tx>
      <c:layout>
        <c:manualLayout>
          <c:xMode val="edge"/>
          <c:yMode val="edge"/>
          <c:x val="0.37910447761194044"/>
          <c:y val="1.9323671497584551E-2"/>
        </c:manualLayout>
      </c:layout>
      <c:spPr>
        <a:noFill/>
        <a:ln w="25325">
          <a:noFill/>
        </a:ln>
      </c:spPr>
    </c:title>
    <c:view3D>
      <c:hPercent val="75"/>
      <c:rotY val="44"/>
      <c:depthPercent val="13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99CCFF"/>
            </a:gs>
            <a:gs pos="100000">
              <a:srgbClr val="99CCFF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99CCFF"/>
            </a:gs>
            <a:gs pos="100000">
              <a:srgbClr val="99CCFF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731343283582075E-2"/>
          <c:y val="0.12318840579710146"/>
          <c:w val="0.61044776119402988"/>
          <c:h val="0.688405797101449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безработных, зарегистрированных в государственных учреждениях службы занятости населения, тыс. человек</c:v>
                </c:pt>
              </c:strCache>
            </c:strRef>
          </c:tx>
          <c:spPr>
            <a:solidFill>
              <a:srgbClr val="FF99CC"/>
            </a:solidFill>
            <a:ln w="12663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2014 г. </c:v>
                </c:pt>
                <c:pt idx="1">
                  <c:v>2015г.</c:v>
                </c:pt>
                <c:pt idx="2">
                  <c:v>2016г. Оценка</c:v>
                </c:pt>
                <c:pt idx="3">
                  <c:v>2017 г. прогноз</c:v>
                </c:pt>
                <c:pt idx="4">
                  <c:v>2018 г. прогноз</c:v>
                </c:pt>
                <c:pt idx="5">
                  <c:v>2019г. Прогноз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0.26</c:v>
                </c:pt>
                <c:pt idx="1">
                  <c:v>0.36300000000000016</c:v>
                </c:pt>
                <c:pt idx="2">
                  <c:v>0.38300000000000012</c:v>
                </c:pt>
                <c:pt idx="3">
                  <c:v>0.37700000000000011</c:v>
                </c:pt>
                <c:pt idx="4">
                  <c:v>0.36800000000000016</c:v>
                </c:pt>
                <c:pt idx="5">
                  <c:v>0.3600000000000001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Уровень зарегистрированной безработицы, %</c:v>
                </c:pt>
              </c:strCache>
            </c:strRef>
          </c:tx>
          <c:spPr>
            <a:solidFill>
              <a:srgbClr val="CCFFCC"/>
            </a:solidFill>
            <a:ln w="12663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2014 г. </c:v>
                </c:pt>
                <c:pt idx="1">
                  <c:v>2015г.</c:v>
                </c:pt>
                <c:pt idx="2">
                  <c:v>2016г. Оценка</c:v>
                </c:pt>
                <c:pt idx="3">
                  <c:v>2017 г. прогноз</c:v>
                </c:pt>
                <c:pt idx="4">
                  <c:v>2018 г. прогноз</c:v>
                </c:pt>
                <c:pt idx="5">
                  <c:v>2019г. Прогноз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1.07</c:v>
                </c:pt>
                <c:pt idx="1">
                  <c:v>1.49</c:v>
                </c:pt>
                <c:pt idx="2">
                  <c:v>1.57</c:v>
                </c:pt>
                <c:pt idx="3">
                  <c:v>1.53</c:v>
                </c:pt>
                <c:pt idx="4">
                  <c:v>1.5</c:v>
                </c:pt>
                <c:pt idx="5">
                  <c:v>1.47</c:v>
                </c:pt>
              </c:numCache>
            </c:numRef>
          </c:val>
        </c:ser>
        <c:gapWidth val="120"/>
        <c:gapDepth val="180"/>
        <c:shape val="box"/>
        <c:axId val="61926784"/>
        <c:axId val="61928576"/>
        <c:axId val="0"/>
      </c:bar3DChart>
      <c:catAx>
        <c:axId val="61926784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928576"/>
        <c:crosses val="autoZero"/>
        <c:auto val="1"/>
        <c:lblAlgn val="ctr"/>
        <c:lblOffset val="100"/>
        <c:tickLblSkip val="1"/>
        <c:tickMarkSkip val="1"/>
      </c:catAx>
      <c:valAx>
        <c:axId val="61928576"/>
        <c:scaling>
          <c:orientation val="minMax"/>
          <c:max val="2.5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1926784"/>
        <c:crosses val="autoZero"/>
        <c:crossBetween val="between"/>
        <c:majorUnit val="0.5"/>
      </c:valAx>
      <c:spPr>
        <a:noFill/>
        <a:ln w="25325">
          <a:noFill/>
        </a:ln>
      </c:spPr>
    </c:plotArea>
    <c:legend>
      <c:legendPos val="r"/>
      <c:layout>
        <c:manualLayout>
          <c:xMode val="edge"/>
          <c:yMode val="edge"/>
          <c:x val="0.68507462686567189"/>
          <c:y val="0.3357487922705315"/>
          <c:w val="0.31492537313432856"/>
          <c:h val="0.36473429951690822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EAEAEA"/>
    </a:solidFill>
    <a:ln>
      <a:noFill/>
    </a:ln>
  </c:spPr>
  <c:txPr>
    <a:bodyPr/>
    <a:lstStyle/>
    <a:p>
      <a:pPr>
        <a:defRPr sz="182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l">
              <a:defRPr sz="11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Численность детей в дошкольных  общеобразовательных учреждениях</a:t>
            </a:r>
          </a:p>
        </c:rich>
      </c:tx>
      <c:layout>
        <c:manualLayout>
          <c:xMode val="edge"/>
          <c:yMode val="edge"/>
          <c:x val="9.9547511312217202E-2"/>
          <c:y val="8.2644628099173591E-3"/>
        </c:manualLayout>
      </c:layout>
      <c:spPr>
        <a:noFill/>
        <a:ln w="25325">
          <a:noFill/>
        </a:ln>
      </c:spPr>
    </c:title>
    <c:view3D>
      <c:rotX val="43"/>
      <c:hPercent val="64"/>
      <c:rotY val="44"/>
      <c:depthPercent val="5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CCFFFF"/>
            </a:gs>
            <a:gs pos="100000">
              <a:srgbClr val="CCFFFF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CCFFFF"/>
            </a:gs>
            <a:gs pos="100000">
              <a:srgbClr val="CCFFFF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36500754147813E-2"/>
          <c:y val="0.13774104683195598"/>
          <c:w val="0.61085972850678771"/>
          <c:h val="0.661157024793388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детей в дошкольных образовательных учреждениях, человек</c:v>
                </c:pt>
              </c:strCache>
            </c:strRef>
          </c:tx>
          <c:spPr>
            <a:solidFill>
              <a:srgbClr val="33CCCC"/>
            </a:solidFill>
            <a:ln w="12662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2014 г. </c:v>
                </c:pt>
                <c:pt idx="1">
                  <c:v>2015г.</c:v>
                </c:pt>
                <c:pt idx="2">
                  <c:v>2016г. Оценка</c:v>
                </c:pt>
                <c:pt idx="3">
                  <c:v>2017 г. прогноз</c:v>
                </c:pt>
                <c:pt idx="4">
                  <c:v>2018 г. прогноз</c:v>
                </c:pt>
                <c:pt idx="5">
                  <c:v>2019г. Прогноз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1592</c:v>
                </c:pt>
                <c:pt idx="1">
                  <c:v>1811</c:v>
                </c:pt>
                <c:pt idx="2">
                  <c:v>1880</c:v>
                </c:pt>
                <c:pt idx="3">
                  <c:v>1965</c:v>
                </c:pt>
                <c:pt idx="4">
                  <c:v>2044</c:v>
                </c:pt>
                <c:pt idx="5">
                  <c:v>2134</c:v>
                </c:pt>
              </c:numCache>
            </c:numRef>
          </c:val>
          <c:shape val="cylinder"/>
        </c:ser>
        <c:gapWidth val="120"/>
        <c:gapDepth val="180"/>
        <c:shape val="box"/>
        <c:axId val="61695104"/>
        <c:axId val="61696640"/>
        <c:axId val="0"/>
      </c:bar3DChart>
      <c:catAx>
        <c:axId val="61695104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696640"/>
        <c:crosses val="autoZero"/>
        <c:auto val="1"/>
        <c:lblAlgn val="ctr"/>
        <c:lblOffset val="100"/>
        <c:tickLblSkip val="1"/>
        <c:tickMarkSkip val="1"/>
      </c:catAx>
      <c:valAx>
        <c:axId val="61696640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1695104"/>
        <c:crosses val="autoZero"/>
        <c:crossBetween val="between"/>
      </c:valAx>
      <c:spPr>
        <a:noFill/>
        <a:ln w="25325">
          <a:noFill/>
        </a:ln>
      </c:spPr>
    </c:plotArea>
    <c:legend>
      <c:legendPos val="r"/>
      <c:layout>
        <c:manualLayout>
          <c:xMode val="edge"/>
          <c:yMode val="edge"/>
          <c:x val="0.74509803921568674"/>
          <c:y val="0.40220385674931125"/>
          <c:w val="0.25490196078431382"/>
          <c:h val="0.21212121212121218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75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EAEAEA"/>
    </a:solidFill>
    <a:ln>
      <a:noFill/>
    </a:ln>
  </c:spPr>
  <c:txPr>
    <a:bodyPr/>
    <a:lstStyle/>
    <a:p>
      <a:pPr>
        <a:defRPr sz="159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4468</Words>
  <Characters>25471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2016-11-28T11:20:00Z</cp:lastPrinted>
  <dcterms:created xsi:type="dcterms:W3CDTF">2016-11-29T05:33:00Z</dcterms:created>
  <dcterms:modified xsi:type="dcterms:W3CDTF">2016-11-29T05:36:00Z</dcterms:modified>
</cp:coreProperties>
</file>